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4B20" w14:textId="77777777" w:rsidR="0063324F" w:rsidRPr="00037E5D" w:rsidRDefault="0063324F" w:rsidP="00204CB8">
      <w:pPr>
        <w:rPr>
          <w:rFonts w:ascii="Futura Lt BT" w:hAnsi="Futura Lt BT" w:cstheme="minorHAnsi"/>
        </w:rPr>
      </w:pPr>
    </w:p>
    <w:p w14:paraId="44964B21" w14:textId="77777777" w:rsidR="00AA4FB7" w:rsidRPr="00037E5D" w:rsidRDefault="00AA4FB7" w:rsidP="00037E5D">
      <w:pPr>
        <w:pBdr>
          <w:bottom w:val="single" w:sz="4" w:space="0" w:color="000000"/>
        </w:pBdr>
        <w:ind w:left="-450"/>
        <w:jc w:val="center"/>
        <w:rPr>
          <w:rFonts w:ascii="Futura Lt BT" w:hAnsi="Futura Lt BT" w:cstheme="minorHAnsi"/>
          <w:sz w:val="48"/>
          <w:lang w:val="es-EC"/>
        </w:rPr>
      </w:pPr>
      <w:r w:rsidRPr="00037E5D">
        <w:rPr>
          <w:rFonts w:ascii="Futura Lt BT" w:hAnsi="Futura Lt BT" w:cstheme="minorHAnsi"/>
          <w:sz w:val="48"/>
          <w:lang w:val="es-EC"/>
        </w:rPr>
        <w:t>Acta de Constitución del Proyecto</w:t>
      </w:r>
    </w:p>
    <w:tbl>
      <w:tblPr>
        <w:tblStyle w:val="Tablaconcuadrculaclara"/>
        <w:tblW w:w="9990" w:type="dxa"/>
        <w:jc w:val="center"/>
        <w:tblLayout w:type="fixed"/>
        <w:tblLook w:val="04A0" w:firstRow="1" w:lastRow="0" w:firstColumn="1" w:lastColumn="0" w:noHBand="0" w:noVBand="1"/>
      </w:tblPr>
      <w:tblGrid>
        <w:gridCol w:w="2293"/>
        <w:gridCol w:w="7697"/>
      </w:tblGrid>
      <w:tr w:rsidR="00037E5D" w:rsidRPr="00037E5D" w14:paraId="44964B24" w14:textId="77777777" w:rsidTr="00037E5D">
        <w:trPr>
          <w:trHeight w:val="324"/>
          <w:jc w:val="center"/>
        </w:trPr>
        <w:tc>
          <w:tcPr>
            <w:tcW w:w="2293" w:type="dxa"/>
          </w:tcPr>
          <w:p w14:paraId="44964B22" w14:textId="77777777" w:rsidR="00AA4FB7" w:rsidRPr="00037E5D" w:rsidRDefault="00AA4FB7" w:rsidP="00AA4FB7">
            <w:pPr>
              <w:rPr>
                <w:rFonts w:ascii="Futura Lt BT" w:hAnsi="Futura Lt BT" w:cstheme="minorHAnsi"/>
                <w:sz w:val="28"/>
                <w:szCs w:val="28"/>
                <w:lang w:val="es-EC"/>
              </w:rPr>
            </w:pPr>
            <w:r w:rsidRPr="00037E5D">
              <w:rPr>
                <w:rFonts w:ascii="Futura Lt BT" w:hAnsi="Futura Lt BT" w:cstheme="minorHAnsi"/>
                <w:sz w:val="28"/>
                <w:szCs w:val="28"/>
                <w:lang w:val="es-EC"/>
              </w:rPr>
              <w:t>Proyecto:</w:t>
            </w:r>
          </w:p>
        </w:tc>
        <w:tc>
          <w:tcPr>
            <w:tcW w:w="7697" w:type="dxa"/>
          </w:tcPr>
          <w:p w14:paraId="44964B23" w14:textId="4573B772" w:rsidR="00AA4FB7" w:rsidRPr="00037E5D" w:rsidRDefault="004B4C9B" w:rsidP="00AA4FB7">
            <w:pPr>
              <w:rPr>
                <w:rFonts w:ascii="Futura Lt BT" w:hAnsi="Futura Lt BT" w:cstheme="minorHAnsi"/>
                <w:sz w:val="28"/>
                <w:szCs w:val="28"/>
                <w:lang w:val="es-EC"/>
              </w:rPr>
            </w:pPr>
            <w:r w:rsidRPr="00037E5D">
              <w:rPr>
                <w:rFonts w:ascii="Futura Lt BT" w:hAnsi="Futura Lt BT" w:cstheme="minorHAnsi"/>
                <w:sz w:val="28"/>
                <w:szCs w:val="28"/>
                <w:lang w:val="es-EC"/>
              </w:rPr>
              <w:t>Desarrollo de un Prototipo de Vivienda Social Urbana Sostenible</w:t>
            </w:r>
          </w:p>
        </w:tc>
      </w:tr>
      <w:tr w:rsidR="00037E5D" w:rsidRPr="00037E5D" w14:paraId="44964B27" w14:textId="77777777" w:rsidTr="00037E5D">
        <w:trPr>
          <w:jc w:val="center"/>
        </w:trPr>
        <w:tc>
          <w:tcPr>
            <w:tcW w:w="2293" w:type="dxa"/>
          </w:tcPr>
          <w:p w14:paraId="44964B25" w14:textId="77777777" w:rsidR="00AA4FB7" w:rsidRPr="00037E5D" w:rsidRDefault="00AA4FB7" w:rsidP="00AA4FB7">
            <w:pPr>
              <w:rPr>
                <w:rFonts w:ascii="Futura Lt BT" w:hAnsi="Futura Lt BT" w:cstheme="minorHAnsi"/>
                <w:sz w:val="28"/>
                <w:szCs w:val="28"/>
                <w:lang w:val="es-EC"/>
              </w:rPr>
            </w:pPr>
            <w:r w:rsidRPr="00037E5D">
              <w:rPr>
                <w:rFonts w:ascii="Futura Lt BT" w:hAnsi="Futura Lt BT" w:cstheme="minorHAnsi"/>
                <w:sz w:val="28"/>
                <w:szCs w:val="28"/>
                <w:lang w:val="es-EC"/>
              </w:rPr>
              <w:t>Código:</w:t>
            </w:r>
          </w:p>
        </w:tc>
        <w:tc>
          <w:tcPr>
            <w:tcW w:w="7697" w:type="dxa"/>
          </w:tcPr>
          <w:p w14:paraId="44964B26" w14:textId="6752D031" w:rsidR="00AA4FB7" w:rsidRPr="00037E5D" w:rsidRDefault="00AA0430" w:rsidP="00AA4FB7">
            <w:pPr>
              <w:rPr>
                <w:rFonts w:ascii="Futura Lt BT" w:hAnsi="Futura Lt BT" w:cstheme="minorHAnsi"/>
                <w:sz w:val="28"/>
                <w:szCs w:val="28"/>
                <w:lang w:val="es-EC"/>
              </w:rPr>
            </w:pPr>
            <w:r w:rsidRPr="00037E5D">
              <w:rPr>
                <w:rFonts w:ascii="Futura Lt BT" w:hAnsi="Futura Lt BT" w:cstheme="minorHAnsi"/>
                <w:sz w:val="28"/>
                <w:szCs w:val="28"/>
                <w:lang w:val="es-EC"/>
              </w:rPr>
              <w:t>PROT-001-2023</w:t>
            </w:r>
          </w:p>
        </w:tc>
      </w:tr>
      <w:tr w:rsidR="00037E5D" w:rsidRPr="00037E5D" w14:paraId="44964B2A" w14:textId="77777777" w:rsidTr="00037E5D">
        <w:trPr>
          <w:jc w:val="center"/>
        </w:trPr>
        <w:tc>
          <w:tcPr>
            <w:tcW w:w="2293" w:type="dxa"/>
          </w:tcPr>
          <w:p w14:paraId="44964B28" w14:textId="77777777" w:rsidR="00AA4FB7" w:rsidRPr="00037E5D" w:rsidRDefault="00AA4FB7" w:rsidP="00AA4FB7">
            <w:pPr>
              <w:rPr>
                <w:rFonts w:ascii="Futura Lt BT" w:hAnsi="Futura Lt BT" w:cstheme="minorHAnsi"/>
                <w:sz w:val="28"/>
                <w:szCs w:val="28"/>
                <w:lang w:val="es-EC"/>
              </w:rPr>
            </w:pPr>
            <w:r w:rsidRPr="00037E5D">
              <w:rPr>
                <w:rFonts w:ascii="Futura Lt BT" w:hAnsi="Futura Lt BT" w:cstheme="minorHAnsi"/>
                <w:sz w:val="28"/>
                <w:szCs w:val="28"/>
                <w:lang w:val="es-EC"/>
              </w:rPr>
              <w:t>Fecha:</w:t>
            </w:r>
          </w:p>
        </w:tc>
        <w:tc>
          <w:tcPr>
            <w:tcW w:w="7697" w:type="dxa"/>
          </w:tcPr>
          <w:p w14:paraId="44964B29" w14:textId="617CC4A4" w:rsidR="00AA4FB7" w:rsidRPr="00037E5D" w:rsidRDefault="00AA0430" w:rsidP="00337F08">
            <w:pPr>
              <w:rPr>
                <w:rFonts w:ascii="Futura Lt BT" w:hAnsi="Futura Lt BT" w:cstheme="minorHAnsi"/>
                <w:szCs w:val="28"/>
                <w:lang w:val="es-EC"/>
              </w:rPr>
            </w:pPr>
            <w:r w:rsidRPr="00037E5D">
              <w:rPr>
                <w:rFonts w:ascii="Futura Lt BT" w:hAnsi="Futura Lt BT" w:cstheme="minorHAnsi"/>
                <w:szCs w:val="28"/>
                <w:lang w:val="es-EC"/>
              </w:rPr>
              <w:t>10/09/2023</w:t>
            </w:r>
          </w:p>
        </w:tc>
      </w:tr>
      <w:tr w:rsidR="00037E5D" w:rsidRPr="00037E5D" w14:paraId="44964B2C" w14:textId="77777777" w:rsidTr="00037E5D">
        <w:trPr>
          <w:jc w:val="center"/>
        </w:trPr>
        <w:tc>
          <w:tcPr>
            <w:tcW w:w="9990" w:type="dxa"/>
            <w:gridSpan w:val="2"/>
          </w:tcPr>
          <w:p w14:paraId="44964B2B" w14:textId="77777777" w:rsidR="00AA4FB7" w:rsidRPr="00037E5D" w:rsidRDefault="00AA4FB7" w:rsidP="00AA4FB7">
            <w:pPr>
              <w:jc w:val="both"/>
              <w:rPr>
                <w:rFonts w:ascii="Futura Lt BT" w:hAnsi="Futura Lt BT" w:cstheme="minorHAnsi"/>
                <w:b/>
                <w:lang w:val="es-EC"/>
              </w:rPr>
            </w:pPr>
          </w:p>
        </w:tc>
      </w:tr>
      <w:tr w:rsidR="00037E5D" w:rsidRPr="00037E5D" w14:paraId="44964B2E" w14:textId="77777777" w:rsidTr="00037E5D">
        <w:trPr>
          <w:jc w:val="center"/>
        </w:trPr>
        <w:tc>
          <w:tcPr>
            <w:tcW w:w="9990" w:type="dxa"/>
            <w:gridSpan w:val="2"/>
          </w:tcPr>
          <w:p w14:paraId="44964B2D" w14:textId="07E0A09E" w:rsidR="00AA4FB7" w:rsidRPr="00037E5D" w:rsidRDefault="00AA4FB7" w:rsidP="00701A78">
            <w:pPr>
              <w:jc w:val="center"/>
              <w:rPr>
                <w:rFonts w:ascii="Futura Lt BT" w:hAnsi="Futura Lt BT" w:cstheme="minorHAnsi"/>
                <w:lang w:val="es-EC"/>
              </w:rPr>
            </w:pPr>
            <w:r w:rsidRPr="00037E5D">
              <w:rPr>
                <w:rFonts w:ascii="Futura Lt BT" w:hAnsi="Futura Lt BT" w:cstheme="minorHAnsi"/>
                <w:b/>
                <w:sz w:val="32"/>
                <w:szCs w:val="32"/>
                <w:lang w:val="es-EC"/>
              </w:rPr>
              <w:t>Racionalidad y Propósito del Proyecto</w:t>
            </w:r>
            <w:r w:rsidRPr="00037E5D">
              <w:rPr>
                <w:rFonts w:ascii="Futura Lt BT" w:hAnsi="Futura Lt BT" w:cstheme="minorHAnsi"/>
                <w:sz w:val="32"/>
                <w:szCs w:val="32"/>
                <w:lang w:val="es-EC"/>
              </w:rPr>
              <w:t>:</w:t>
            </w:r>
          </w:p>
        </w:tc>
      </w:tr>
      <w:tr w:rsidR="00037E5D" w:rsidRPr="00037E5D" w14:paraId="44964B31" w14:textId="77777777" w:rsidTr="00037E5D">
        <w:trPr>
          <w:trHeight w:val="2128"/>
          <w:jc w:val="center"/>
        </w:trPr>
        <w:tc>
          <w:tcPr>
            <w:tcW w:w="9990" w:type="dxa"/>
            <w:gridSpan w:val="2"/>
          </w:tcPr>
          <w:p w14:paraId="22B445AC" w14:textId="77777777" w:rsidR="008A79C0" w:rsidRPr="00037E5D" w:rsidRDefault="008A79C0" w:rsidP="00834374">
            <w:pPr>
              <w:contextualSpacing/>
              <w:jc w:val="both"/>
              <w:outlineLvl w:val="0"/>
              <w:rPr>
                <w:rFonts w:ascii="Futura Lt BT" w:hAnsi="Futura Lt BT" w:cstheme="minorHAnsi"/>
                <w:lang w:val="es-EC"/>
              </w:rPr>
            </w:pPr>
          </w:p>
          <w:p w14:paraId="07213714" w14:textId="4891F6C2" w:rsidR="001373BD" w:rsidRPr="00037E5D" w:rsidRDefault="001373BD" w:rsidP="00834374">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El proyecto "Desarrollo de un Prototipo de Vivienda Social Urbana Sostenible" busca abordar el desafío de crear estándares de diseño y construcción que sean sostenibles y estén alineados con los Objetivos de Desarrollo Sostenible (ODS) en el contexto de Costa Rica. Reconociendo la necesidad de vivienda y las limitaciones presupuestarias, el proyecto apunta a establecer un modelo de vivienda que sea económicamente accesible, de alta calidad, ambientalmente sostenible y resiliente.</w:t>
            </w:r>
          </w:p>
          <w:p w14:paraId="44964B30" w14:textId="67BAFC66" w:rsidR="00196C3A" w:rsidRPr="00037E5D" w:rsidRDefault="00196C3A" w:rsidP="00196C3A">
            <w:pPr>
              <w:contextualSpacing/>
              <w:jc w:val="both"/>
              <w:outlineLvl w:val="0"/>
              <w:rPr>
                <w:rFonts w:ascii="Futura Lt BT" w:hAnsi="Futura Lt BT" w:cstheme="minorHAnsi"/>
                <w:lang w:val="es-EC"/>
              </w:rPr>
            </w:pPr>
          </w:p>
        </w:tc>
      </w:tr>
      <w:tr w:rsidR="00037E5D" w:rsidRPr="00037E5D" w14:paraId="44964B33" w14:textId="77777777" w:rsidTr="00037E5D">
        <w:trPr>
          <w:jc w:val="center"/>
        </w:trPr>
        <w:tc>
          <w:tcPr>
            <w:tcW w:w="9990" w:type="dxa"/>
            <w:gridSpan w:val="2"/>
          </w:tcPr>
          <w:p w14:paraId="44964B32" w14:textId="7C84DB43" w:rsidR="00196C3A" w:rsidRPr="00037E5D" w:rsidRDefault="00196C3A" w:rsidP="00701A78">
            <w:pPr>
              <w:jc w:val="center"/>
              <w:rPr>
                <w:rFonts w:ascii="Futura Lt BT" w:hAnsi="Futura Lt BT" w:cstheme="minorHAnsi"/>
                <w:b/>
                <w:sz w:val="32"/>
                <w:szCs w:val="32"/>
                <w:lang w:val="es-EC"/>
              </w:rPr>
            </w:pPr>
            <w:r w:rsidRPr="00037E5D">
              <w:rPr>
                <w:rFonts w:ascii="Futura Lt BT" w:hAnsi="Futura Lt BT" w:cstheme="minorHAnsi"/>
                <w:b/>
                <w:sz w:val="32"/>
                <w:szCs w:val="32"/>
                <w:lang w:val="es-EC"/>
              </w:rPr>
              <w:t>Objetivos del Proyecto:</w:t>
            </w:r>
          </w:p>
        </w:tc>
      </w:tr>
      <w:tr w:rsidR="00037E5D" w:rsidRPr="00037E5D" w14:paraId="44964B36" w14:textId="77777777" w:rsidTr="00037E5D">
        <w:trPr>
          <w:jc w:val="center"/>
        </w:trPr>
        <w:tc>
          <w:tcPr>
            <w:tcW w:w="9990" w:type="dxa"/>
            <w:gridSpan w:val="2"/>
          </w:tcPr>
          <w:p w14:paraId="0D0D8021" w14:textId="77777777" w:rsidR="00834374" w:rsidRPr="00037E5D" w:rsidRDefault="00834374" w:rsidP="00A52B5C">
            <w:pPr>
              <w:contextualSpacing/>
              <w:jc w:val="both"/>
              <w:outlineLvl w:val="0"/>
              <w:rPr>
                <w:rFonts w:ascii="Futura Lt BT" w:hAnsi="Futura Lt BT" w:cstheme="minorHAnsi"/>
                <w:sz w:val="20"/>
                <w:szCs w:val="20"/>
                <w:lang w:val="es-EC"/>
              </w:rPr>
            </w:pPr>
          </w:p>
          <w:p w14:paraId="1DD2312F" w14:textId="4E50CE77" w:rsidR="00A52B5C" w:rsidRPr="00037E5D" w:rsidRDefault="00A52B5C" w:rsidP="00A52B5C">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Objetivo general:</w:t>
            </w:r>
          </w:p>
          <w:p w14:paraId="640E8ED7" w14:textId="77777777" w:rsidR="00011532" w:rsidRPr="00037E5D" w:rsidRDefault="00011532" w:rsidP="00A52B5C">
            <w:pPr>
              <w:contextualSpacing/>
              <w:jc w:val="both"/>
              <w:outlineLvl w:val="0"/>
              <w:rPr>
                <w:rFonts w:ascii="Futura Lt BT" w:hAnsi="Futura Lt BT" w:cstheme="minorHAnsi"/>
                <w:sz w:val="20"/>
                <w:szCs w:val="20"/>
                <w:lang w:val="es-EC"/>
              </w:rPr>
            </w:pPr>
          </w:p>
          <w:p w14:paraId="638F63AD" w14:textId="14F5E850" w:rsidR="00A52B5C" w:rsidRPr="00037E5D" w:rsidRDefault="00A52B5C" w:rsidP="00A52B5C">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Establecer</w:t>
            </w:r>
            <w:r w:rsidR="00151861" w:rsidRPr="00037E5D">
              <w:rPr>
                <w:rFonts w:ascii="Futura Lt BT" w:hAnsi="Futura Lt BT" w:cstheme="minorHAnsi"/>
                <w:sz w:val="20"/>
                <w:szCs w:val="20"/>
                <w:lang w:val="es-EC"/>
              </w:rPr>
              <w:t xml:space="preserve">, en un plazo de </w:t>
            </w:r>
            <w:r w:rsidR="008A79C0" w:rsidRPr="00037E5D">
              <w:rPr>
                <w:rFonts w:ascii="Futura Lt BT" w:hAnsi="Futura Lt BT" w:cstheme="minorHAnsi"/>
                <w:sz w:val="20"/>
                <w:szCs w:val="20"/>
                <w:lang w:val="es-EC"/>
              </w:rPr>
              <w:t>doce meses</w:t>
            </w:r>
            <w:r w:rsidR="00151861" w:rsidRPr="00037E5D">
              <w:rPr>
                <w:rFonts w:ascii="Futura Lt BT" w:hAnsi="Futura Lt BT" w:cstheme="minorHAnsi"/>
                <w:sz w:val="20"/>
                <w:szCs w:val="20"/>
                <w:lang w:val="es-EC"/>
              </w:rPr>
              <w:t>,</w:t>
            </w:r>
            <w:r w:rsidRPr="00037E5D">
              <w:rPr>
                <w:rFonts w:ascii="Futura Lt BT" w:hAnsi="Futura Lt BT" w:cstheme="minorHAnsi"/>
                <w:sz w:val="20"/>
                <w:szCs w:val="20"/>
                <w:lang w:val="es-EC"/>
              </w:rPr>
              <w:t xml:space="preserve"> los estándares mínimos de diseño y construcción sostenible para viviendas de interés social, alineándose con los Objetivos de Desarrollo Sostenible (ODS). </w:t>
            </w:r>
          </w:p>
          <w:p w14:paraId="0EEFCC4D" w14:textId="77777777" w:rsidR="00A52B5C" w:rsidRPr="00037E5D" w:rsidRDefault="00A52B5C" w:rsidP="00A52B5C">
            <w:pPr>
              <w:contextualSpacing/>
              <w:jc w:val="both"/>
              <w:outlineLvl w:val="0"/>
              <w:rPr>
                <w:rFonts w:ascii="Futura Lt BT" w:hAnsi="Futura Lt BT" w:cstheme="minorHAnsi"/>
                <w:sz w:val="20"/>
                <w:szCs w:val="20"/>
                <w:lang w:val="es-EC"/>
              </w:rPr>
            </w:pPr>
          </w:p>
          <w:p w14:paraId="207D6165" w14:textId="11D1C738" w:rsidR="00A52B5C" w:rsidRPr="00037E5D" w:rsidRDefault="00A52B5C" w:rsidP="00A52B5C">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Objetivos específicos:</w:t>
            </w:r>
          </w:p>
          <w:p w14:paraId="050E14BF" w14:textId="77777777" w:rsidR="00A52B5C" w:rsidRPr="00037E5D" w:rsidRDefault="00A52B5C" w:rsidP="00A52B5C">
            <w:pPr>
              <w:contextualSpacing/>
              <w:jc w:val="both"/>
              <w:outlineLvl w:val="0"/>
              <w:rPr>
                <w:rFonts w:ascii="Futura Lt BT" w:hAnsi="Futura Lt BT" w:cstheme="minorHAnsi"/>
                <w:sz w:val="20"/>
                <w:szCs w:val="20"/>
                <w:lang w:val="es-EC"/>
              </w:rPr>
            </w:pPr>
          </w:p>
          <w:p w14:paraId="083E8795" w14:textId="37ABB39E" w:rsidR="00A52B5C" w:rsidRPr="00037E5D" w:rsidRDefault="00A52B5C" w:rsidP="00A52B5C">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Definir</w:t>
            </w:r>
            <w:r w:rsidR="00151861" w:rsidRPr="00037E5D">
              <w:rPr>
                <w:rFonts w:ascii="Futura Lt BT" w:hAnsi="Futura Lt BT" w:cstheme="minorHAnsi"/>
                <w:sz w:val="20"/>
                <w:szCs w:val="20"/>
                <w:lang w:val="es-EC"/>
              </w:rPr>
              <w:t xml:space="preserve"> </w:t>
            </w:r>
            <w:r w:rsidRPr="00037E5D">
              <w:rPr>
                <w:rFonts w:ascii="Futura Lt BT" w:hAnsi="Futura Lt BT" w:cstheme="minorHAnsi"/>
                <w:sz w:val="20"/>
                <w:szCs w:val="20"/>
                <w:lang w:val="es-EC"/>
              </w:rPr>
              <w:t>los criterios esenciales de diseño sostenible para una vivienda unifamiliar de un solo nivel, lo cual incluirá lineamientos para la optimización del uso del espacio y la minimización del impacto ambiental.</w:t>
            </w:r>
          </w:p>
          <w:p w14:paraId="55883BA0" w14:textId="77777777" w:rsidR="00A52B5C" w:rsidRPr="00037E5D" w:rsidRDefault="00A52B5C" w:rsidP="00A52B5C">
            <w:pPr>
              <w:contextualSpacing/>
              <w:jc w:val="both"/>
              <w:outlineLvl w:val="0"/>
              <w:rPr>
                <w:rFonts w:ascii="Futura Lt BT" w:hAnsi="Futura Lt BT" w:cstheme="minorHAnsi"/>
                <w:sz w:val="20"/>
                <w:szCs w:val="20"/>
                <w:lang w:val="es-EC"/>
              </w:rPr>
            </w:pPr>
          </w:p>
          <w:p w14:paraId="61E40856" w14:textId="4E84F556" w:rsidR="00A52B5C" w:rsidRPr="00037E5D" w:rsidRDefault="00A52B5C" w:rsidP="00A52B5C">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Identificar</w:t>
            </w:r>
            <w:r w:rsidR="00151861" w:rsidRPr="00037E5D">
              <w:rPr>
                <w:rFonts w:ascii="Futura Lt BT" w:hAnsi="Futura Lt BT" w:cstheme="minorHAnsi"/>
                <w:sz w:val="20"/>
                <w:szCs w:val="20"/>
                <w:lang w:val="es-EC"/>
              </w:rPr>
              <w:t xml:space="preserve"> </w:t>
            </w:r>
            <w:r w:rsidRPr="00037E5D">
              <w:rPr>
                <w:rFonts w:ascii="Futura Lt BT" w:hAnsi="Futura Lt BT" w:cstheme="minorHAnsi"/>
                <w:sz w:val="20"/>
                <w:szCs w:val="20"/>
                <w:lang w:val="es-EC"/>
              </w:rPr>
              <w:t xml:space="preserve">los materiales de construcción óptimos que no solo cumplan con los estándares de </w:t>
            </w:r>
            <w:r w:rsidR="00011532" w:rsidRPr="00037E5D">
              <w:rPr>
                <w:rFonts w:ascii="Futura Lt BT" w:hAnsi="Futura Lt BT" w:cstheme="minorHAnsi"/>
                <w:sz w:val="20"/>
                <w:szCs w:val="20"/>
                <w:lang w:val="es-EC"/>
              </w:rPr>
              <w:t>sostenibilidad,</w:t>
            </w:r>
            <w:r w:rsidRPr="00037E5D">
              <w:rPr>
                <w:rFonts w:ascii="Futura Lt BT" w:hAnsi="Futura Lt BT" w:cstheme="minorHAnsi"/>
                <w:sz w:val="20"/>
                <w:szCs w:val="20"/>
                <w:lang w:val="es-EC"/>
              </w:rPr>
              <w:t xml:space="preserve"> sino que también contribuyan a la reducción de la huella de carbono, para ser utilizados en la construcción de estas viviendas.</w:t>
            </w:r>
          </w:p>
          <w:p w14:paraId="4577AA22" w14:textId="77777777" w:rsidR="00A52B5C" w:rsidRPr="00037E5D" w:rsidRDefault="00A52B5C" w:rsidP="00A52B5C">
            <w:pPr>
              <w:contextualSpacing/>
              <w:jc w:val="both"/>
              <w:outlineLvl w:val="0"/>
              <w:rPr>
                <w:rFonts w:ascii="Futura Lt BT" w:hAnsi="Futura Lt BT" w:cstheme="minorHAnsi"/>
                <w:sz w:val="20"/>
                <w:szCs w:val="20"/>
                <w:lang w:val="es-EC"/>
              </w:rPr>
            </w:pPr>
          </w:p>
          <w:p w14:paraId="0420C7B4" w14:textId="40E43867" w:rsidR="00A52B5C" w:rsidRPr="00037E5D" w:rsidRDefault="00A52B5C" w:rsidP="00A52B5C">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Elaborar</w:t>
            </w:r>
            <w:r w:rsidR="00151861" w:rsidRPr="00037E5D">
              <w:rPr>
                <w:rFonts w:ascii="Futura Lt BT" w:hAnsi="Futura Lt BT" w:cstheme="minorHAnsi"/>
                <w:sz w:val="20"/>
                <w:szCs w:val="20"/>
                <w:lang w:val="es-EC"/>
              </w:rPr>
              <w:t xml:space="preserve"> </w:t>
            </w:r>
            <w:r w:rsidRPr="00037E5D">
              <w:rPr>
                <w:rFonts w:ascii="Futura Lt BT" w:hAnsi="Futura Lt BT" w:cstheme="minorHAnsi"/>
                <w:sz w:val="20"/>
                <w:szCs w:val="20"/>
                <w:lang w:val="es-EC"/>
              </w:rPr>
              <w:t>un manual práctico que guíe la incorporación de sostenibilidad en el diseño y construcción de viviendas, el cual será validado mediante talleres con profesionales de la construcción</w:t>
            </w:r>
            <w:r w:rsidR="00D9376A" w:rsidRPr="00037E5D">
              <w:rPr>
                <w:rFonts w:ascii="Futura Lt BT" w:hAnsi="Futura Lt BT" w:cstheme="minorHAnsi"/>
                <w:sz w:val="20"/>
                <w:szCs w:val="20"/>
                <w:lang w:val="es-EC"/>
              </w:rPr>
              <w:t>.</w:t>
            </w:r>
          </w:p>
          <w:p w14:paraId="44964B35" w14:textId="78E19F1D" w:rsidR="00196C3A" w:rsidRPr="00037E5D" w:rsidRDefault="00196C3A" w:rsidP="00196C3A">
            <w:pPr>
              <w:contextualSpacing/>
              <w:jc w:val="both"/>
              <w:outlineLvl w:val="0"/>
              <w:rPr>
                <w:rFonts w:ascii="Futura Lt BT" w:hAnsi="Futura Lt BT" w:cstheme="minorHAnsi"/>
                <w:sz w:val="20"/>
                <w:szCs w:val="20"/>
                <w:lang w:val="es-EC"/>
              </w:rPr>
            </w:pPr>
          </w:p>
        </w:tc>
      </w:tr>
      <w:tr w:rsidR="00037E5D" w:rsidRPr="00037E5D" w14:paraId="44964B38" w14:textId="77777777" w:rsidTr="00037E5D">
        <w:trPr>
          <w:jc w:val="center"/>
        </w:trPr>
        <w:tc>
          <w:tcPr>
            <w:tcW w:w="9990" w:type="dxa"/>
            <w:gridSpan w:val="2"/>
          </w:tcPr>
          <w:p w14:paraId="44964B37" w14:textId="12C043D7" w:rsidR="00BF11DA" w:rsidRPr="00037E5D" w:rsidRDefault="00196C3A" w:rsidP="00701A78">
            <w:pPr>
              <w:jc w:val="center"/>
              <w:rPr>
                <w:rFonts w:ascii="Futura Lt BT" w:hAnsi="Futura Lt BT" w:cstheme="minorHAnsi"/>
                <w:b/>
                <w:sz w:val="32"/>
                <w:szCs w:val="32"/>
                <w:lang w:val="es-EC"/>
              </w:rPr>
            </w:pPr>
            <w:r w:rsidRPr="00037E5D">
              <w:rPr>
                <w:rFonts w:ascii="Futura Lt BT" w:hAnsi="Futura Lt BT" w:cstheme="minorHAnsi"/>
                <w:b/>
                <w:sz w:val="32"/>
                <w:szCs w:val="32"/>
                <w:lang w:val="es-EC"/>
              </w:rPr>
              <w:t>Estrategia del Proyecto:</w:t>
            </w:r>
          </w:p>
        </w:tc>
      </w:tr>
      <w:tr w:rsidR="00037E5D" w:rsidRPr="00037E5D" w14:paraId="44964B40" w14:textId="77777777" w:rsidTr="00037E5D">
        <w:trPr>
          <w:jc w:val="center"/>
        </w:trPr>
        <w:tc>
          <w:tcPr>
            <w:tcW w:w="9990" w:type="dxa"/>
            <w:gridSpan w:val="2"/>
          </w:tcPr>
          <w:p w14:paraId="44964B39" w14:textId="77777777" w:rsidR="00196C3A" w:rsidRPr="00037E5D" w:rsidRDefault="00196C3A" w:rsidP="00701A78">
            <w:pPr>
              <w:contextualSpacing/>
              <w:jc w:val="both"/>
              <w:outlineLvl w:val="0"/>
              <w:rPr>
                <w:rFonts w:ascii="Futura Lt BT" w:hAnsi="Futura Lt BT" w:cstheme="minorHAnsi"/>
                <w:sz w:val="20"/>
                <w:szCs w:val="20"/>
                <w:lang w:val="es-EC"/>
              </w:rPr>
            </w:pPr>
          </w:p>
          <w:p w14:paraId="44964B3A" w14:textId="77777777" w:rsidR="00196C3A" w:rsidRPr="00037E5D" w:rsidRDefault="00196C3A"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Breve descripción del modelo de intervención.</w:t>
            </w:r>
          </w:p>
          <w:p w14:paraId="4F333838" w14:textId="77777777" w:rsidR="00834374" w:rsidRPr="00037E5D" w:rsidRDefault="00834374" w:rsidP="00701A78">
            <w:pPr>
              <w:contextualSpacing/>
              <w:jc w:val="both"/>
              <w:outlineLvl w:val="0"/>
              <w:rPr>
                <w:rFonts w:ascii="Futura Lt BT" w:hAnsi="Futura Lt BT" w:cstheme="minorHAnsi"/>
                <w:sz w:val="20"/>
                <w:szCs w:val="20"/>
                <w:lang w:val="es-EC"/>
              </w:rPr>
            </w:pPr>
          </w:p>
          <w:p w14:paraId="19288476" w14:textId="77777777" w:rsidR="00834374" w:rsidRPr="00037E5D" w:rsidRDefault="00834374"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El impacto esperado es triple: social, al mejorar el acceso a viviendas sostenibles para las familias de bajos ingresos; ambiental, al reducir la huella de carbono y promover la eficiencia energética; y económico, al establecer prácticas de construcción que puedan ser adoptadas sin elevar significativamente los costos. Este proyecto pretende ser un modelo replicable que pueda influir en políticas habitacionales futuras y fomentar un cambio hacia la construcción sostenible a nivel nacional.</w:t>
            </w:r>
          </w:p>
          <w:p w14:paraId="602F7F03" w14:textId="77777777" w:rsidR="00834374" w:rsidRPr="00037E5D" w:rsidRDefault="00834374" w:rsidP="00BF11DA">
            <w:pPr>
              <w:contextualSpacing/>
              <w:jc w:val="both"/>
              <w:outlineLvl w:val="0"/>
              <w:rPr>
                <w:rFonts w:ascii="Futura Lt BT" w:hAnsi="Futura Lt BT" w:cstheme="minorHAnsi"/>
                <w:sz w:val="20"/>
                <w:szCs w:val="20"/>
                <w:lang w:val="es-EC"/>
              </w:rPr>
            </w:pPr>
          </w:p>
          <w:p w14:paraId="61E41ABC" w14:textId="77777777" w:rsidR="00037E5D" w:rsidRPr="00037E5D" w:rsidRDefault="00037E5D" w:rsidP="00BF11DA">
            <w:pPr>
              <w:contextualSpacing/>
              <w:jc w:val="both"/>
              <w:outlineLvl w:val="0"/>
              <w:rPr>
                <w:rFonts w:ascii="Futura Lt BT" w:hAnsi="Futura Lt BT" w:cstheme="minorHAnsi"/>
                <w:sz w:val="20"/>
                <w:szCs w:val="20"/>
                <w:lang w:val="es-EC"/>
              </w:rPr>
            </w:pPr>
          </w:p>
          <w:p w14:paraId="6491B7D6" w14:textId="13B4EF8F" w:rsidR="008E7BF6" w:rsidRPr="00037E5D" w:rsidRDefault="008E7BF6"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lastRenderedPageBreak/>
              <w:t>Alcance:</w:t>
            </w:r>
          </w:p>
          <w:p w14:paraId="6461FCFC" w14:textId="77777777" w:rsidR="008E7BF6" w:rsidRPr="00037E5D" w:rsidRDefault="008E7BF6" w:rsidP="00BF11DA">
            <w:pPr>
              <w:contextualSpacing/>
              <w:jc w:val="both"/>
              <w:outlineLvl w:val="0"/>
              <w:rPr>
                <w:rFonts w:ascii="Futura Lt BT" w:hAnsi="Futura Lt BT" w:cstheme="minorHAnsi"/>
                <w:sz w:val="20"/>
                <w:szCs w:val="20"/>
                <w:lang w:val="es-EC"/>
              </w:rPr>
            </w:pPr>
          </w:p>
          <w:p w14:paraId="1AF0732F" w14:textId="77777777" w:rsidR="003F4C19" w:rsidRPr="00037E5D" w:rsidRDefault="003F4C19"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El alcance del proyecto incluye la creación de varios productos clave para alcanzar los objetivos generales y específicos planteados:</w:t>
            </w:r>
          </w:p>
          <w:p w14:paraId="5C7D527E" w14:textId="77777777" w:rsidR="003F4C19" w:rsidRPr="00037E5D" w:rsidRDefault="003F4C19" w:rsidP="00701A78">
            <w:pPr>
              <w:pStyle w:val="Prrafodelista"/>
              <w:numPr>
                <w:ilvl w:val="0"/>
                <w:numId w:val="25"/>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Estándares de Diseño Sostenible: Definición y documentación de los criterios esenciales de diseño sostenible para una vivienda unifamiliar de un solo nivel, que abarcará la optimización del espacio y la reducción del impacto ambiental.</w:t>
            </w:r>
          </w:p>
          <w:p w14:paraId="7D17ACCF" w14:textId="72DBD3C0" w:rsidR="003F4C19" w:rsidRPr="00037E5D" w:rsidRDefault="003F4C19" w:rsidP="00701A78">
            <w:pPr>
              <w:pStyle w:val="Prrafodelista"/>
              <w:numPr>
                <w:ilvl w:val="0"/>
                <w:numId w:val="25"/>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Selección de Materiales: Listado de materiales de construcción óptimos que satisfagan los estándares de sostenibilidad y que ayuden a reducir la huella de carbono.</w:t>
            </w:r>
          </w:p>
          <w:p w14:paraId="48191A7F" w14:textId="77777777" w:rsidR="003F4C19" w:rsidRPr="00037E5D" w:rsidRDefault="003F4C19" w:rsidP="00701A78">
            <w:pPr>
              <w:pStyle w:val="Prrafodelista"/>
              <w:numPr>
                <w:ilvl w:val="0"/>
                <w:numId w:val="25"/>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Prototipo de Vivienda: Diseño arquitectónico de una vivienda prototipo de 42 metros cuadrados, adecuada para una familia de cinco personas, con al menos dos dormitorios, un baño, cocina, sala-comedor y patio trasero. Este diseño también incluirá la integración de espacios verdes para fomentar la biodiversidad y mejorar la calidad del aire, y características para maximizar la eficiencia energética y el confort ambiental</w:t>
            </w:r>
          </w:p>
          <w:p w14:paraId="2FD53DF4" w14:textId="51AA2837" w:rsidR="008E7BF6" w:rsidRPr="00037E5D" w:rsidRDefault="003F4C19" w:rsidP="00701A78">
            <w:pPr>
              <w:pStyle w:val="Prrafodelista"/>
              <w:numPr>
                <w:ilvl w:val="0"/>
                <w:numId w:val="25"/>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Manual Práctico: Desarrollo de un manual que proporcione orientación clara y práctica para la incorporación de elementos de sostenibilidad en el diseño y la construcción de viviendas, junto con su validación a través de talleres.</w:t>
            </w:r>
          </w:p>
          <w:p w14:paraId="2B525697" w14:textId="77777777" w:rsidR="003F4C19" w:rsidRPr="00037E5D" w:rsidRDefault="003F4C19" w:rsidP="00BF11DA">
            <w:pPr>
              <w:contextualSpacing/>
              <w:jc w:val="both"/>
              <w:outlineLvl w:val="0"/>
              <w:rPr>
                <w:rFonts w:ascii="Futura Lt BT" w:hAnsi="Futura Lt BT" w:cstheme="minorHAnsi"/>
                <w:sz w:val="20"/>
                <w:szCs w:val="20"/>
                <w:lang w:val="es-EC"/>
              </w:rPr>
            </w:pPr>
          </w:p>
          <w:p w14:paraId="2EDD9DC8" w14:textId="25CD2686" w:rsidR="003F4C19" w:rsidRPr="00037E5D" w:rsidRDefault="003F4C19"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Limitaciones:</w:t>
            </w:r>
          </w:p>
          <w:p w14:paraId="6AE3EF67" w14:textId="77777777" w:rsidR="00AB1216" w:rsidRPr="00037E5D" w:rsidRDefault="00AB1216" w:rsidP="00BF11DA">
            <w:pPr>
              <w:contextualSpacing/>
              <w:jc w:val="both"/>
              <w:outlineLvl w:val="0"/>
              <w:rPr>
                <w:rFonts w:ascii="Futura Lt BT" w:hAnsi="Futura Lt BT" w:cstheme="minorHAnsi"/>
                <w:sz w:val="20"/>
                <w:szCs w:val="20"/>
                <w:lang w:val="es-EC"/>
              </w:rPr>
            </w:pPr>
          </w:p>
          <w:p w14:paraId="2A26B2B8" w14:textId="0E0D3CD4" w:rsidR="00AB1216" w:rsidRPr="00037E5D" w:rsidRDefault="00AB1216"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Construcción de múltiples viviendas: La construcción masiva de viviendas no está dentro del alcance del proyecto; se centrará únicamente en el diseño del prototipo.</w:t>
            </w:r>
          </w:p>
          <w:p w14:paraId="29A31363" w14:textId="77777777" w:rsidR="00AB1216" w:rsidRPr="00037E5D" w:rsidRDefault="00AB1216" w:rsidP="00BF11DA">
            <w:pPr>
              <w:contextualSpacing/>
              <w:jc w:val="both"/>
              <w:outlineLvl w:val="0"/>
              <w:rPr>
                <w:rFonts w:ascii="Futura Lt BT" w:hAnsi="Futura Lt BT" w:cstheme="minorHAnsi"/>
                <w:sz w:val="20"/>
                <w:szCs w:val="20"/>
                <w:lang w:val="es-EC"/>
              </w:rPr>
            </w:pPr>
          </w:p>
          <w:p w14:paraId="702B8EEF" w14:textId="28F202FA" w:rsidR="00AB1216" w:rsidRPr="00037E5D" w:rsidRDefault="00AB1216"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Desarrollo urbano completo: No se abordará el diseño y la planificación a gran escala de comunidades o desarrollos urbanos completos.</w:t>
            </w:r>
          </w:p>
          <w:p w14:paraId="52175C16" w14:textId="77777777" w:rsidR="00AB1216" w:rsidRPr="00037E5D" w:rsidRDefault="00AB1216" w:rsidP="00BF11DA">
            <w:pPr>
              <w:contextualSpacing/>
              <w:jc w:val="both"/>
              <w:outlineLvl w:val="0"/>
              <w:rPr>
                <w:rFonts w:ascii="Futura Lt BT" w:hAnsi="Futura Lt BT" w:cstheme="minorHAnsi"/>
                <w:sz w:val="20"/>
                <w:szCs w:val="20"/>
                <w:lang w:val="es-EC"/>
              </w:rPr>
            </w:pPr>
          </w:p>
          <w:p w14:paraId="04A56307" w14:textId="420A5B3E" w:rsidR="00AB1216" w:rsidRPr="00037E5D" w:rsidRDefault="00AB1216"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Gestión de proyectos de construcción: La gestión y supervisión de proyectos de construcción individuales que adopten los estándares propuestos no está contemplada.</w:t>
            </w:r>
          </w:p>
          <w:p w14:paraId="57D4B8BE" w14:textId="77777777" w:rsidR="00AB1216" w:rsidRPr="00037E5D" w:rsidRDefault="00AB1216" w:rsidP="00BF11DA">
            <w:pPr>
              <w:contextualSpacing/>
              <w:jc w:val="both"/>
              <w:outlineLvl w:val="0"/>
              <w:rPr>
                <w:rFonts w:ascii="Futura Lt BT" w:hAnsi="Futura Lt BT" w:cstheme="minorHAnsi"/>
                <w:sz w:val="20"/>
                <w:szCs w:val="20"/>
                <w:lang w:val="es-EC"/>
              </w:rPr>
            </w:pPr>
          </w:p>
          <w:p w14:paraId="1D4AEB5D" w14:textId="1E589946" w:rsidR="00AB1216" w:rsidRPr="00037E5D" w:rsidRDefault="00AB1216"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Capacitación continua: Aunque se realizarán talleres iniciales para validar el manual, no se proporcionará formación continua a largo plazo ni se establecerán programas de certificación.</w:t>
            </w:r>
          </w:p>
          <w:p w14:paraId="5E341644" w14:textId="77777777" w:rsidR="00AB1216" w:rsidRPr="00037E5D" w:rsidRDefault="00AB1216" w:rsidP="00BF11DA">
            <w:pPr>
              <w:contextualSpacing/>
              <w:jc w:val="both"/>
              <w:outlineLvl w:val="0"/>
              <w:rPr>
                <w:rFonts w:ascii="Futura Lt BT" w:hAnsi="Futura Lt BT" w:cstheme="minorHAnsi"/>
                <w:sz w:val="20"/>
                <w:szCs w:val="20"/>
                <w:lang w:val="es-EC"/>
              </w:rPr>
            </w:pPr>
          </w:p>
          <w:p w14:paraId="2E3ACF1A" w14:textId="46FC2A0F" w:rsidR="00AB1216" w:rsidRPr="00037E5D" w:rsidRDefault="00AB1216" w:rsidP="00BF11DA">
            <w:pPr>
              <w:contextualSpacing/>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Implementación nacional: El alcance se limita al establecimiento de estándares y diseño del prototipo, sin incluir la implementación a nivel nacional.</w:t>
            </w:r>
          </w:p>
          <w:p w14:paraId="1377F2DA" w14:textId="77777777" w:rsidR="00F62B7C" w:rsidRPr="00037E5D" w:rsidRDefault="00F62B7C" w:rsidP="00BF11DA">
            <w:pPr>
              <w:jc w:val="both"/>
              <w:outlineLvl w:val="0"/>
              <w:rPr>
                <w:rFonts w:ascii="Futura Lt BT" w:hAnsi="Futura Lt BT" w:cstheme="minorHAnsi"/>
                <w:sz w:val="20"/>
                <w:szCs w:val="20"/>
                <w:lang w:val="es-EC"/>
              </w:rPr>
            </w:pPr>
          </w:p>
          <w:p w14:paraId="44964B3C" w14:textId="3915C6CA" w:rsidR="00196C3A" w:rsidRDefault="00196C3A" w:rsidP="00BF11DA">
            <w:p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Cronograma resumido de hitos</w:t>
            </w:r>
            <w:r w:rsidR="008A79C0" w:rsidRPr="00037E5D">
              <w:rPr>
                <w:rFonts w:ascii="Futura Lt BT" w:hAnsi="Futura Lt BT" w:cstheme="minorHAnsi"/>
                <w:sz w:val="20"/>
                <w:szCs w:val="20"/>
                <w:lang w:val="es-EC"/>
              </w:rPr>
              <w:t xml:space="preserve">: </w:t>
            </w:r>
          </w:p>
          <w:p w14:paraId="4E359A3C" w14:textId="77777777" w:rsidR="00037E5D" w:rsidRPr="00037E5D" w:rsidRDefault="00037E5D" w:rsidP="00BF11DA">
            <w:pPr>
              <w:jc w:val="both"/>
              <w:outlineLvl w:val="0"/>
              <w:rPr>
                <w:rFonts w:ascii="Futura Lt BT" w:hAnsi="Futura Lt BT" w:cstheme="minorHAnsi"/>
                <w:sz w:val="20"/>
                <w:szCs w:val="20"/>
                <w:lang w:val="es-EC"/>
              </w:rPr>
            </w:pPr>
          </w:p>
          <w:p w14:paraId="2D7399CE" w14:textId="77777777" w:rsidR="008A79C0" w:rsidRPr="00037E5D" w:rsidRDefault="008A79C0" w:rsidP="00BF11DA">
            <w:pPr>
              <w:rPr>
                <w:rFonts w:ascii="Futura Lt BT" w:hAnsi="Futura Lt BT" w:cstheme="minorHAnsi"/>
                <w:b/>
                <w:bCs/>
                <w:sz w:val="20"/>
                <w:szCs w:val="20"/>
                <w:lang w:val="es-EC"/>
              </w:rPr>
            </w:pPr>
            <w:r w:rsidRPr="00037E5D">
              <w:rPr>
                <w:rFonts w:ascii="Futura Lt BT" w:hAnsi="Futura Lt BT" w:cstheme="minorHAnsi"/>
                <w:b/>
                <w:bCs/>
                <w:sz w:val="20"/>
                <w:szCs w:val="20"/>
                <w:lang w:val="es-EC"/>
              </w:rPr>
              <w:t>Establecimiento de Estándares de Diseño Sostenible</w:t>
            </w:r>
          </w:p>
          <w:p w14:paraId="26ABFC0A" w14:textId="0E372219"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Investigación y desarrollo: Enero 2024 – Febrero 2024</w:t>
            </w:r>
          </w:p>
          <w:p w14:paraId="2EF0D4EA" w14:textId="56D2E491"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Revisión y finalización de estándares: Marzo 2024</w:t>
            </w:r>
          </w:p>
          <w:p w14:paraId="6824E135" w14:textId="77777777" w:rsidR="008A79C0" w:rsidRPr="00037E5D" w:rsidRDefault="008A79C0" w:rsidP="00BF11DA">
            <w:pPr>
              <w:rPr>
                <w:rFonts w:ascii="Futura Lt BT" w:hAnsi="Futura Lt BT" w:cstheme="minorHAnsi"/>
                <w:b/>
                <w:bCs/>
                <w:sz w:val="20"/>
                <w:szCs w:val="20"/>
                <w:lang w:val="es-EC"/>
              </w:rPr>
            </w:pPr>
            <w:r w:rsidRPr="00037E5D">
              <w:rPr>
                <w:rFonts w:ascii="Futura Lt BT" w:hAnsi="Futura Lt BT" w:cstheme="minorHAnsi"/>
                <w:b/>
                <w:bCs/>
                <w:sz w:val="20"/>
                <w:szCs w:val="20"/>
                <w:lang w:val="es-EC"/>
              </w:rPr>
              <w:t>Selección de Materiales</w:t>
            </w:r>
          </w:p>
          <w:p w14:paraId="6A020226" w14:textId="373DDBAF"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Investigación de materiales sostenibles: Febrero 2024 – Marzo 2024</w:t>
            </w:r>
          </w:p>
          <w:p w14:paraId="6A1968EF" w14:textId="28B6CE0D"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Evaluación y selección de materiales: Abril 2024</w:t>
            </w:r>
          </w:p>
          <w:p w14:paraId="6BDB7FB3" w14:textId="77777777" w:rsidR="008A79C0" w:rsidRPr="00037E5D" w:rsidRDefault="008A79C0" w:rsidP="00BF11DA">
            <w:pPr>
              <w:rPr>
                <w:rFonts w:ascii="Futura Lt BT" w:hAnsi="Futura Lt BT" w:cstheme="minorHAnsi"/>
                <w:b/>
                <w:bCs/>
                <w:sz w:val="20"/>
                <w:szCs w:val="20"/>
                <w:lang w:val="es-EC"/>
              </w:rPr>
            </w:pPr>
            <w:r w:rsidRPr="00037E5D">
              <w:rPr>
                <w:rFonts w:ascii="Futura Lt BT" w:hAnsi="Futura Lt BT" w:cstheme="minorHAnsi"/>
                <w:b/>
                <w:bCs/>
                <w:sz w:val="20"/>
                <w:szCs w:val="20"/>
                <w:lang w:val="es-EC"/>
              </w:rPr>
              <w:t>Diseño del Prototipo de Vivienda</w:t>
            </w:r>
          </w:p>
          <w:p w14:paraId="5B7B0F53" w14:textId="028687A8"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Diseño preliminar: Abril 2024 – Mayo 2024</w:t>
            </w:r>
          </w:p>
          <w:p w14:paraId="1B07CC34" w14:textId="71E70757"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Revisión y ajustes del diseño: Junio 2024</w:t>
            </w:r>
          </w:p>
          <w:p w14:paraId="1531B3B2" w14:textId="676CB898"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Diseño final y presentación de prototipo: Julio 2024</w:t>
            </w:r>
          </w:p>
          <w:p w14:paraId="2EC76E1C" w14:textId="77777777" w:rsidR="008A79C0" w:rsidRPr="00037E5D" w:rsidRDefault="008A79C0" w:rsidP="00BF11DA">
            <w:pPr>
              <w:rPr>
                <w:rFonts w:ascii="Futura Lt BT" w:hAnsi="Futura Lt BT" w:cstheme="minorHAnsi"/>
                <w:b/>
                <w:bCs/>
                <w:sz w:val="20"/>
                <w:szCs w:val="20"/>
                <w:lang w:val="es-EC"/>
              </w:rPr>
            </w:pPr>
            <w:r w:rsidRPr="00037E5D">
              <w:rPr>
                <w:rFonts w:ascii="Futura Lt BT" w:hAnsi="Futura Lt BT" w:cstheme="minorHAnsi"/>
                <w:b/>
                <w:bCs/>
                <w:sz w:val="20"/>
                <w:szCs w:val="20"/>
                <w:lang w:val="es-EC"/>
              </w:rPr>
              <w:t>Desarrollo de Manual Práctico</w:t>
            </w:r>
          </w:p>
          <w:p w14:paraId="7EFA93F8" w14:textId="0346E7CE"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Redacción del borrador del manual: Agosto 2024 – Setiembre 2024</w:t>
            </w:r>
          </w:p>
          <w:p w14:paraId="6E0B8228" w14:textId="7798B540" w:rsidR="008A79C0"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Talleres de validación y retroalimentación: Octubre 2024</w:t>
            </w:r>
          </w:p>
          <w:p w14:paraId="00B5DD3B" w14:textId="4C2913D3" w:rsidR="00E16BF2" w:rsidRPr="00037E5D" w:rsidRDefault="008A79C0" w:rsidP="00701A78">
            <w:pPr>
              <w:rPr>
                <w:rFonts w:ascii="Futura Lt BT" w:hAnsi="Futura Lt BT" w:cstheme="minorHAnsi"/>
                <w:sz w:val="20"/>
                <w:szCs w:val="20"/>
                <w:lang w:val="es-EC"/>
              </w:rPr>
            </w:pPr>
            <w:r w:rsidRPr="00037E5D">
              <w:rPr>
                <w:rFonts w:ascii="Futura Lt BT" w:hAnsi="Futura Lt BT" w:cstheme="minorHAnsi"/>
                <w:sz w:val="20"/>
                <w:szCs w:val="20"/>
                <w:lang w:val="es-EC"/>
              </w:rPr>
              <w:t>Finalización y lanzamiento del manual: Noviembre 2024 – Diciembre 2024</w:t>
            </w:r>
          </w:p>
          <w:p w14:paraId="7B08F9A7" w14:textId="77777777" w:rsidR="00E16BF2" w:rsidRPr="00037E5D" w:rsidRDefault="00E16BF2" w:rsidP="00BF11DA">
            <w:pPr>
              <w:jc w:val="both"/>
              <w:outlineLvl w:val="0"/>
              <w:rPr>
                <w:rFonts w:ascii="Futura Lt BT" w:hAnsi="Futura Lt BT" w:cstheme="minorHAnsi"/>
                <w:sz w:val="20"/>
                <w:szCs w:val="20"/>
                <w:lang w:val="es-EC"/>
              </w:rPr>
            </w:pPr>
          </w:p>
          <w:p w14:paraId="44964B3D" w14:textId="56C2677D" w:rsidR="00196C3A" w:rsidRPr="00037E5D" w:rsidRDefault="00196C3A" w:rsidP="00BF11DA">
            <w:p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Presupuesto resumido</w:t>
            </w:r>
            <w:r w:rsidR="008A79C0" w:rsidRPr="00037E5D">
              <w:rPr>
                <w:rFonts w:ascii="Futura Lt BT" w:hAnsi="Futura Lt BT" w:cstheme="minorHAnsi"/>
                <w:sz w:val="20"/>
                <w:szCs w:val="20"/>
                <w:lang w:val="es-EC"/>
              </w:rPr>
              <w:t>:</w:t>
            </w:r>
          </w:p>
          <w:p w14:paraId="581DEF4D" w14:textId="22E6966B" w:rsidR="0029192F" w:rsidRPr="00037E5D" w:rsidRDefault="0029192F" w:rsidP="00BF11DA">
            <w:pPr>
              <w:rPr>
                <w:rFonts w:ascii="Futura Lt BT" w:hAnsi="Futura Lt BT" w:cstheme="minorHAnsi"/>
                <w:sz w:val="20"/>
                <w:szCs w:val="20"/>
                <w:lang w:val="es-EC"/>
              </w:rPr>
            </w:pPr>
            <w:r w:rsidRPr="00037E5D">
              <w:rPr>
                <w:rFonts w:ascii="Futura Lt BT" w:hAnsi="Futura Lt BT" w:cstheme="minorHAnsi"/>
                <w:sz w:val="20"/>
                <w:szCs w:val="20"/>
                <w:lang w:val="es-EC"/>
              </w:rPr>
              <w:t xml:space="preserve">Presupuesto </w:t>
            </w:r>
            <w:r w:rsidR="008A79C0" w:rsidRPr="00037E5D">
              <w:rPr>
                <w:rFonts w:ascii="Futura Lt BT" w:hAnsi="Futura Lt BT" w:cstheme="minorHAnsi"/>
                <w:sz w:val="20"/>
                <w:szCs w:val="20"/>
                <w:lang w:val="es-EC"/>
              </w:rPr>
              <w:t>to</w:t>
            </w:r>
            <w:r w:rsidRPr="00037E5D">
              <w:rPr>
                <w:rFonts w:ascii="Futura Lt BT" w:hAnsi="Futura Lt BT" w:cstheme="minorHAnsi"/>
                <w:sz w:val="20"/>
                <w:szCs w:val="20"/>
                <w:lang w:val="es-EC"/>
              </w:rPr>
              <w:t>tal</w:t>
            </w:r>
            <w:r w:rsidR="008A79C0" w:rsidRPr="00037E5D">
              <w:rPr>
                <w:rFonts w:ascii="Futura Lt BT" w:hAnsi="Futura Lt BT" w:cstheme="minorHAnsi"/>
                <w:sz w:val="20"/>
                <w:szCs w:val="20"/>
                <w:lang w:val="es-EC"/>
              </w:rPr>
              <w:t xml:space="preserve"> para el prototipo de vivienda que se diseñe es de </w:t>
            </w:r>
            <w:r w:rsidRPr="00037E5D">
              <w:rPr>
                <w:rFonts w:ascii="Futura Lt BT" w:hAnsi="Futura Lt BT" w:cstheme="minorHAnsi"/>
                <w:sz w:val="20"/>
                <w:szCs w:val="20"/>
                <w:lang w:val="es-EC"/>
              </w:rPr>
              <w:t>45.000 USD.</w:t>
            </w:r>
          </w:p>
          <w:p w14:paraId="0F7254F0" w14:textId="69B29B77" w:rsidR="0029192F" w:rsidRPr="00037E5D" w:rsidRDefault="008A79C0" w:rsidP="00BF11DA">
            <w:pPr>
              <w:rPr>
                <w:rFonts w:ascii="Futura Lt BT" w:hAnsi="Futura Lt BT" w:cstheme="minorHAnsi"/>
                <w:sz w:val="20"/>
                <w:szCs w:val="20"/>
                <w:lang w:val="es-EC"/>
              </w:rPr>
            </w:pPr>
            <w:r w:rsidRPr="00037E5D">
              <w:rPr>
                <w:rFonts w:ascii="Futura Lt BT" w:hAnsi="Futura Lt BT" w:cstheme="minorHAnsi"/>
                <w:sz w:val="20"/>
                <w:szCs w:val="20"/>
                <w:lang w:val="es-EC"/>
              </w:rPr>
              <w:t>Detalle:</w:t>
            </w:r>
          </w:p>
          <w:p w14:paraId="303135A2" w14:textId="413A2E5C" w:rsidR="0029192F" w:rsidRPr="00037E5D" w:rsidRDefault="0029192F" w:rsidP="00701A78">
            <w:pPr>
              <w:rPr>
                <w:rFonts w:ascii="Futura Lt BT" w:hAnsi="Futura Lt BT" w:cstheme="minorHAnsi"/>
                <w:sz w:val="20"/>
                <w:szCs w:val="20"/>
                <w:lang w:val="es-EC"/>
              </w:rPr>
            </w:pPr>
            <w:r w:rsidRPr="00037E5D">
              <w:rPr>
                <w:rFonts w:ascii="Futura Lt BT" w:hAnsi="Futura Lt BT" w:cstheme="minorHAnsi"/>
                <w:sz w:val="20"/>
                <w:szCs w:val="20"/>
                <w:lang w:val="es-EC"/>
              </w:rPr>
              <w:t>Construcción y materiales: USD.15.000</w:t>
            </w:r>
          </w:p>
          <w:p w14:paraId="6AE35566" w14:textId="6715746E" w:rsidR="0029192F" w:rsidRPr="00037E5D" w:rsidRDefault="0029192F" w:rsidP="00701A78">
            <w:pPr>
              <w:rPr>
                <w:rFonts w:ascii="Futura Lt BT" w:hAnsi="Futura Lt BT" w:cstheme="minorHAnsi"/>
                <w:sz w:val="20"/>
                <w:szCs w:val="20"/>
                <w:lang w:val="es-EC"/>
              </w:rPr>
            </w:pPr>
            <w:r w:rsidRPr="00037E5D">
              <w:rPr>
                <w:rFonts w:ascii="Futura Lt BT" w:hAnsi="Futura Lt BT" w:cstheme="minorHAnsi"/>
                <w:sz w:val="20"/>
                <w:szCs w:val="20"/>
                <w:lang w:val="es-EC"/>
              </w:rPr>
              <w:lastRenderedPageBreak/>
              <w:t>Tecnologías sostenibles (paneles solares, sistemas de agua):] USD.7.000</w:t>
            </w:r>
          </w:p>
          <w:p w14:paraId="2E502A2F" w14:textId="235D6E98" w:rsidR="0029192F" w:rsidRPr="00037E5D" w:rsidRDefault="0029192F" w:rsidP="00701A78">
            <w:pPr>
              <w:rPr>
                <w:rFonts w:ascii="Futura Lt BT" w:hAnsi="Futura Lt BT" w:cstheme="minorHAnsi"/>
                <w:sz w:val="20"/>
                <w:szCs w:val="20"/>
                <w:lang w:val="es-EC"/>
              </w:rPr>
            </w:pPr>
            <w:r w:rsidRPr="00037E5D">
              <w:rPr>
                <w:rFonts w:ascii="Futura Lt BT" w:hAnsi="Futura Lt BT" w:cstheme="minorHAnsi"/>
                <w:sz w:val="20"/>
                <w:szCs w:val="20"/>
                <w:lang w:val="es-EC"/>
              </w:rPr>
              <w:t>Mano de obra: USD.21.000</w:t>
            </w:r>
          </w:p>
          <w:p w14:paraId="11A019DC" w14:textId="75983369" w:rsidR="00AC3F2D" w:rsidRPr="00037E5D" w:rsidRDefault="0029192F" w:rsidP="00BF11DA">
            <w:p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Gastos adicionales (permisos, seguros): USD.3.000</w:t>
            </w:r>
            <w:r w:rsidR="00AC3F2D" w:rsidRPr="00037E5D">
              <w:rPr>
                <w:rFonts w:ascii="Futura Lt BT" w:hAnsi="Futura Lt BT" w:cstheme="minorHAnsi"/>
                <w:sz w:val="20"/>
                <w:szCs w:val="20"/>
                <w:lang w:val="es-EC"/>
              </w:rPr>
              <w:t>Riesgos:</w:t>
            </w:r>
          </w:p>
          <w:p w14:paraId="7260592C" w14:textId="4CFF4CCF" w:rsidR="00AC3F2D" w:rsidRPr="00037E5D" w:rsidRDefault="00AC3F2D" w:rsidP="00701A78">
            <w:pPr>
              <w:pStyle w:val="Prrafodelista"/>
              <w:numPr>
                <w:ilvl w:val="0"/>
                <w:numId w:val="26"/>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Disponibilidad de </w:t>
            </w:r>
            <w:r w:rsidR="005F41A2" w:rsidRPr="00037E5D">
              <w:rPr>
                <w:rFonts w:ascii="Futura Lt BT" w:hAnsi="Futura Lt BT" w:cstheme="minorHAnsi"/>
                <w:sz w:val="20"/>
                <w:szCs w:val="20"/>
                <w:lang w:val="es-EC"/>
              </w:rPr>
              <w:t xml:space="preserve">materiales: riesgo </w:t>
            </w:r>
            <w:r w:rsidRPr="00037E5D">
              <w:rPr>
                <w:rFonts w:ascii="Futura Lt BT" w:hAnsi="Futura Lt BT" w:cstheme="minorHAnsi"/>
                <w:sz w:val="20"/>
                <w:szCs w:val="20"/>
                <w:lang w:val="es-EC"/>
              </w:rPr>
              <w:t>de que los materiales sostenibles necesarios no estén disponibles en el mercado local o sean costosos, afectando el presupuesto y la viabilidad económica del proyecto.</w:t>
            </w:r>
          </w:p>
          <w:p w14:paraId="7549E1A5" w14:textId="20B55FA9" w:rsidR="00AC3F2D" w:rsidRPr="00037E5D" w:rsidRDefault="00AC3F2D" w:rsidP="00701A78">
            <w:pPr>
              <w:pStyle w:val="Prrafodelista"/>
              <w:numPr>
                <w:ilvl w:val="0"/>
                <w:numId w:val="26"/>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Cambios </w:t>
            </w:r>
            <w:r w:rsidR="005F41A2" w:rsidRPr="00037E5D">
              <w:rPr>
                <w:rFonts w:ascii="Futura Lt BT" w:hAnsi="Futura Lt BT" w:cstheme="minorHAnsi"/>
                <w:sz w:val="20"/>
                <w:szCs w:val="20"/>
                <w:lang w:val="es-EC"/>
              </w:rPr>
              <w:t xml:space="preserve">regulatorios: cambios </w:t>
            </w:r>
            <w:r w:rsidRPr="00037E5D">
              <w:rPr>
                <w:rFonts w:ascii="Futura Lt BT" w:hAnsi="Futura Lt BT" w:cstheme="minorHAnsi"/>
                <w:sz w:val="20"/>
                <w:szCs w:val="20"/>
                <w:lang w:val="es-EC"/>
              </w:rPr>
              <w:t>imprevistos en las regulaciones gubernamentales que podrían afectar los estándares de construcción sostenible.</w:t>
            </w:r>
          </w:p>
          <w:p w14:paraId="2E62701A" w14:textId="1607E3AF" w:rsidR="00AC3F2D" w:rsidRPr="00037E5D" w:rsidRDefault="00AC3F2D" w:rsidP="00701A78">
            <w:pPr>
              <w:pStyle w:val="Prrafodelista"/>
              <w:numPr>
                <w:ilvl w:val="0"/>
                <w:numId w:val="26"/>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Adopción de los </w:t>
            </w:r>
            <w:r w:rsidR="005F41A2" w:rsidRPr="00037E5D">
              <w:rPr>
                <w:rFonts w:ascii="Futura Lt BT" w:hAnsi="Futura Lt BT" w:cstheme="minorHAnsi"/>
                <w:sz w:val="20"/>
                <w:szCs w:val="20"/>
                <w:lang w:val="es-EC"/>
              </w:rPr>
              <w:t xml:space="preserve">estándares: riesgo </w:t>
            </w:r>
            <w:r w:rsidRPr="00037E5D">
              <w:rPr>
                <w:rFonts w:ascii="Futura Lt BT" w:hAnsi="Futura Lt BT" w:cstheme="minorHAnsi"/>
                <w:sz w:val="20"/>
                <w:szCs w:val="20"/>
                <w:lang w:val="es-EC"/>
              </w:rPr>
              <w:t>de que los constructores y promotores de viviendas no adopten los estándares de diseño sostenible propuestos por falta de incentivos o por resistencia al cambio.</w:t>
            </w:r>
          </w:p>
          <w:p w14:paraId="11736459" w14:textId="1E634938" w:rsidR="00AC3F2D" w:rsidRPr="00037E5D" w:rsidRDefault="00AC3F2D" w:rsidP="00701A78">
            <w:pPr>
              <w:pStyle w:val="Prrafodelista"/>
              <w:numPr>
                <w:ilvl w:val="0"/>
                <w:numId w:val="26"/>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Riesgos </w:t>
            </w:r>
            <w:r w:rsidR="005F41A2" w:rsidRPr="00037E5D">
              <w:rPr>
                <w:rFonts w:ascii="Futura Lt BT" w:hAnsi="Futura Lt BT" w:cstheme="minorHAnsi"/>
                <w:sz w:val="20"/>
                <w:szCs w:val="20"/>
                <w:lang w:val="es-EC"/>
              </w:rPr>
              <w:t xml:space="preserve">tecnológicos: dificultades </w:t>
            </w:r>
            <w:r w:rsidRPr="00037E5D">
              <w:rPr>
                <w:rFonts w:ascii="Futura Lt BT" w:hAnsi="Futura Lt BT" w:cstheme="minorHAnsi"/>
                <w:sz w:val="20"/>
                <w:szCs w:val="20"/>
                <w:lang w:val="es-EC"/>
              </w:rPr>
              <w:t xml:space="preserve">tecnológicas en la implementación de nuevas técnicas de construcción sostenible que no se han probado </w:t>
            </w:r>
            <w:r w:rsidR="005F41A2" w:rsidRPr="00037E5D">
              <w:rPr>
                <w:rFonts w:ascii="Futura Lt BT" w:hAnsi="Futura Lt BT" w:cstheme="minorHAnsi"/>
                <w:sz w:val="20"/>
                <w:szCs w:val="20"/>
                <w:lang w:val="es-EC"/>
              </w:rPr>
              <w:t>en el país.</w:t>
            </w:r>
          </w:p>
          <w:p w14:paraId="12DD6813" w14:textId="56C32567" w:rsidR="00AC3F2D" w:rsidRPr="00037E5D" w:rsidRDefault="00AC3F2D" w:rsidP="00701A78">
            <w:pPr>
              <w:pStyle w:val="Prrafodelista"/>
              <w:numPr>
                <w:ilvl w:val="0"/>
                <w:numId w:val="26"/>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Limitaciones </w:t>
            </w:r>
            <w:r w:rsidR="00A81D79" w:rsidRPr="00037E5D">
              <w:rPr>
                <w:rFonts w:ascii="Futura Lt BT" w:hAnsi="Futura Lt BT" w:cstheme="minorHAnsi"/>
                <w:sz w:val="20"/>
                <w:szCs w:val="20"/>
                <w:lang w:val="es-EC"/>
              </w:rPr>
              <w:t xml:space="preserve">de financiamiento: riesgo </w:t>
            </w:r>
            <w:r w:rsidRPr="00037E5D">
              <w:rPr>
                <w:rFonts w:ascii="Futura Lt BT" w:hAnsi="Futura Lt BT" w:cstheme="minorHAnsi"/>
                <w:sz w:val="20"/>
                <w:szCs w:val="20"/>
                <w:lang w:val="es-EC"/>
              </w:rPr>
              <w:t xml:space="preserve">de que el financiamiento </w:t>
            </w:r>
            <w:r w:rsidR="00A81D79" w:rsidRPr="00037E5D">
              <w:rPr>
                <w:rFonts w:ascii="Futura Lt BT" w:hAnsi="Futura Lt BT" w:cstheme="minorHAnsi"/>
                <w:sz w:val="20"/>
                <w:szCs w:val="20"/>
                <w:lang w:val="es-EC"/>
              </w:rPr>
              <w:t xml:space="preserve">estatal </w:t>
            </w:r>
            <w:r w:rsidRPr="00037E5D">
              <w:rPr>
                <w:rFonts w:ascii="Futura Lt BT" w:hAnsi="Futura Lt BT" w:cstheme="minorHAnsi"/>
                <w:sz w:val="20"/>
                <w:szCs w:val="20"/>
                <w:lang w:val="es-EC"/>
              </w:rPr>
              <w:t xml:space="preserve">no sea suficiente para cubrir todos los aspectos del proyecto debido a </w:t>
            </w:r>
            <w:r w:rsidR="00A81D79" w:rsidRPr="00037E5D">
              <w:rPr>
                <w:rFonts w:ascii="Futura Lt BT" w:hAnsi="Futura Lt BT" w:cstheme="minorHAnsi"/>
                <w:sz w:val="20"/>
                <w:szCs w:val="20"/>
                <w:lang w:val="es-EC"/>
              </w:rPr>
              <w:t xml:space="preserve">nuevos estándares. </w:t>
            </w:r>
          </w:p>
          <w:p w14:paraId="52EE6E27" w14:textId="77777777" w:rsidR="00AC3F2D" w:rsidRPr="00037E5D" w:rsidRDefault="00AC3F2D" w:rsidP="00BF11DA">
            <w:p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Supuestos:</w:t>
            </w:r>
          </w:p>
          <w:p w14:paraId="6F3DB46B" w14:textId="5C54D14E" w:rsidR="00AC3F2D" w:rsidRPr="00037E5D" w:rsidRDefault="00AC3F2D" w:rsidP="00701A78">
            <w:pPr>
              <w:pStyle w:val="Prrafodelista"/>
              <w:numPr>
                <w:ilvl w:val="0"/>
                <w:numId w:val="27"/>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Compromiso de los </w:t>
            </w:r>
            <w:r w:rsidR="003B1C6B" w:rsidRPr="00037E5D">
              <w:rPr>
                <w:rFonts w:ascii="Futura Lt BT" w:hAnsi="Futura Lt BT" w:cstheme="minorHAnsi"/>
                <w:sz w:val="20"/>
                <w:szCs w:val="20"/>
                <w:lang w:val="es-EC"/>
              </w:rPr>
              <w:t>actores del Comité Ejecutivo</w:t>
            </w:r>
            <w:r w:rsidRPr="00037E5D">
              <w:rPr>
                <w:rFonts w:ascii="Futura Lt BT" w:hAnsi="Futura Lt BT" w:cstheme="minorHAnsi"/>
                <w:sz w:val="20"/>
                <w:szCs w:val="20"/>
                <w:lang w:val="es-EC"/>
              </w:rPr>
              <w:t xml:space="preserve">: </w:t>
            </w:r>
            <w:r w:rsidR="00A81D79" w:rsidRPr="00037E5D">
              <w:rPr>
                <w:rFonts w:ascii="Futura Lt BT" w:hAnsi="Futura Lt BT" w:cstheme="minorHAnsi"/>
                <w:sz w:val="20"/>
                <w:szCs w:val="20"/>
                <w:lang w:val="es-EC"/>
              </w:rPr>
              <w:t xml:space="preserve">supuesto de que todos </w:t>
            </w:r>
            <w:r w:rsidR="003B1C6B" w:rsidRPr="00037E5D">
              <w:rPr>
                <w:rFonts w:ascii="Futura Lt BT" w:hAnsi="Futura Lt BT" w:cstheme="minorHAnsi"/>
                <w:sz w:val="20"/>
                <w:szCs w:val="20"/>
                <w:lang w:val="es-EC"/>
              </w:rPr>
              <w:t>los actores</w:t>
            </w:r>
            <w:r w:rsidR="00A81D79" w:rsidRPr="00037E5D">
              <w:rPr>
                <w:rFonts w:ascii="Futura Lt BT" w:hAnsi="Futura Lt BT" w:cstheme="minorHAnsi"/>
                <w:sz w:val="20"/>
                <w:szCs w:val="20"/>
                <w:lang w:val="es-EC"/>
              </w:rPr>
              <w:t xml:space="preserve">, incluyendo en gobierno </w:t>
            </w:r>
            <w:r w:rsidR="00FC7F8A" w:rsidRPr="00037E5D">
              <w:rPr>
                <w:rFonts w:ascii="Futura Lt BT" w:hAnsi="Futura Lt BT" w:cstheme="minorHAnsi"/>
                <w:sz w:val="20"/>
                <w:szCs w:val="20"/>
                <w:lang w:val="es-EC"/>
              </w:rPr>
              <w:t>de</w:t>
            </w:r>
            <w:r w:rsidR="00A81D79" w:rsidRPr="00037E5D">
              <w:rPr>
                <w:rFonts w:ascii="Futura Lt BT" w:hAnsi="Futura Lt BT" w:cstheme="minorHAnsi"/>
                <w:sz w:val="20"/>
                <w:szCs w:val="20"/>
                <w:lang w:val="es-EC"/>
              </w:rPr>
              <w:t xml:space="preserve"> Costa Rica, proveedores de materiales y constructores, están comprometidos con los ODS y apoyarán el proyecto.</w:t>
            </w:r>
          </w:p>
          <w:p w14:paraId="2D3F6F3F" w14:textId="20DB2AD2" w:rsidR="00AC3F2D" w:rsidRPr="00037E5D" w:rsidRDefault="00AC3F2D" w:rsidP="00701A78">
            <w:pPr>
              <w:pStyle w:val="Prrafodelista"/>
              <w:numPr>
                <w:ilvl w:val="0"/>
                <w:numId w:val="27"/>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Estabilidad del </w:t>
            </w:r>
            <w:r w:rsidR="00A81D79" w:rsidRPr="00037E5D">
              <w:rPr>
                <w:rFonts w:ascii="Futura Lt BT" w:hAnsi="Futura Lt BT" w:cstheme="minorHAnsi"/>
                <w:sz w:val="20"/>
                <w:szCs w:val="20"/>
                <w:lang w:val="es-EC"/>
              </w:rPr>
              <w:t xml:space="preserve">mercado: suposición de que el </w:t>
            </w:r>
            <w:r w:rsidRPr="00037E5D">
              <w:rPr>
                <w:rFonts w:ascii="Futura Lt BT" w:hAnsi="Futura Lt BT" w:cstheme="minorHAnsi"/>
                <w:sz w:val="20"/>
                <w:szCs w:val="20"/>
                <w:lang w:val="es-EC"/>
              </w:rPr>
              <w:t>mercado de la construcción permanecerá estable, sin fluctuaciones significativas en los precios o disponibilidad de materiales.</w:t>
            </w:r>
          </w:p>
          <w:p w14:paraId="759B9FD2" w14:textId="19034A8E" w:rsidR="00AC3F2D" w:rsidRPr="00037E5D" w:rsidRDefault="00AC3F2D" w:rsidP="00701A78">
            <w:pPr>
              <w:pStyle w:val="Prrafodelista"/>
              <w:numPr>
                <w:ilvl w:val="0"/>
                <w:numId w:val="27"/>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Continuidad </w:t>
            </w:r>
            <w:r w:rsidR="007E7FC5" w:rsidRPr="00037E5D">
              <w:rPr>
                <w:rFonts w:ascii="Futura Lt BT" w:hAnsi="Futura Lt BT" w:cstheme="minorHAnsi"/>
                <w:sz w:val="20"/>
                <w:szCs w:val="20"/>
                <w:lang w:val="es-EC"/>
              </w:rPr>
              <w:t xml:space="preserve">política: supuesto </w:t>
            </w:r>
            <w:r w:rsidRPr="00037E5D">
              <w:rPr>
                <w:rFonts w:ascii="Futura Lt BT" w:hAnsi="Futura Lt BT" w:cstheme="minorHAnsi"/>
                <w:sz w:val="20"/>
                <w:szCs w:val="20"/>
                <w:lang w:val="es-EC"/>
              </w:rPr>
              <w:t>de que las políticas gubernamentales actuales en apoyo de la sostenibilidad continuarán vigentes y sin cambios significativos durante el proyecto</w:t>
            </w:r>
            <w:r w:rsidR="007E7FC5" w:rsidRPr="00037E5D">
              <w:rPr>
                <w:rFonts w:ascii="Futura Lt BT" w:hAnsi="Futura Lt BT" w:cstheme="minorHAnsi"/>
                <w:sz w:val="20"/>
                <w:szCs w:val="20"/>
                <w:lang w:val="es-EC"/>
              </w:rPr>
              <w:t>, para la elaboración del manual propuesto.</w:t>
            </w:r>
          </w:p>
          <w:p w14:paraId="6E4F369E" w14:textId="77777777" w:rsidR="00AC3F2D" w:rsidRPr="00037E5D" w:rsidRDefault="00AC3F2D" w:rsidP="00BF11DA">
            <w:p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Restricciones:</w:t>
            </w:r>
          </w:p>
          <w:p w14:paraId="4A1D25BA" w14:textId="77777777" w:rsidR="00AC3F2D" w:rsidRPr="00037E5D" w:rsidRDefault="00AC3F2D" w:rsidP="00701A78">
            <w:pPr>
              <w:pStyle w:val="Prrafodelista"/>
              <w:numPr>
                <w:ilvl w:val="0"/>
                <w:numId w:val="28"/>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Tiempo: El proyecto debe completarse en un plazo de doce meses, lo que limita la profundidad de la investigación y el desarrollo de estándares.</w:t>
            </w:r>
          </w:p>
          <w:p w14:paraId="5B3D2B9B" w14:textId="77777777" w:rsidR="00AC3F2D" w:rsidRPr="00037E5D" w:rsidRDefault="00AC3F2D" w:rsidP="00701A78">
            <w:pPr>
              <w:pStyle w:val="Prrafodelista"/>
              <w:numPr>
                <w:ilvl w:val="0"/>
                <w:numId w:val="28"/>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Presupuesto: El presupuesto es limitado, especialmente considerando la viabilidad económica para las familias de bajos ingresos, lo que restringe la selección de materiales y tecnologías sostenibles.</w:t>
            </w:r>
          </w:p>
          <w:p w14:paraId="54BECDBF" w14:textId="062F2766" w:rsidR="00AC3F2D" w:rsidRPr="00037E5D" w:rsidRDefault="00AC3F2D" w:rsidP="00701A78">
            <w:pPr>
              <w:pStyle w:val="Prrafodelista"/>
              <w:numPr>
                <w:ilvl w:val="0"/>
                <w:numId w:val="28"/>
              </w:numPr>
              <w:jc w:val="both"/>
              <w:outlineLvl w:val="0"/>
              <w:rPr>
                <w:rFonts w:ascii="Futura Lt BT" w:hAnsi="Futura Lt BT" w:cstheme="minorHAnsi"/>
                <w:sz w:val="20"/>
                <w:szCs w:val="20"/>
                <w:lang w:val="es-EC"/>
              </w:rPr>
            </w:pPr>
            <w:r w:rsidRPr="00037E5D">
              <w:rPr>
                <w:rFonts w:ascii="Futura Lt BT" w:hAnsi="Futura Lt BT" w:cstheme="minorHAnsi"/>
                <w:sz w:val="20"/>
                <w:szCs w:val="20"/>
                <w:lang w:val="es-EC"/>
              </w:rPr>
              <w:t xml:space="preserve">Escala del </w:t>
            </w:r>
            <w:r w:rsidR="00FC7F8A" w:rsidRPr="00037E5D">
              <w:rPr>
                <w:rFonts w:ascii="Futura Lt BT" w:hAnsi="Futura Lt BT" w:cstheme="minorHAnsi"/>
                <w:sz w:val="20"/>
                <w:szCs w:val="20"/>
                <w:lang w:val="es-EC"/>
              </w:rPr>
              <w:t>pr</w:t>
            </w:r>
            <w:r w:rsidRPr="00037E5D">
              <w:rPr>
                <w:rFonts w:ascii="Futura Lt BT" w:hAnsi="Futura Lt BT" w:cstheme="minorHAnsi"/>
                <w:sz w:val="20"/>
                <w:szCs w:val="20"/>
                <w:lang w:val="es-EC"/>
              </w:rPr>
              <w:t>oyecto: El proyecto se centra únicamente en viviendas unifamiliares de un nivel, lo cual puede no ser aplicable a otros tipos de construcciones habitacionales.</w:t>
            </w:r>
          </w:p>
          <w:p w14:paraId="44964B3F" w14:textId="550223CA" w:rsidR="00196C3A" w:rsidRPr="00037E5D" w:rsidRDefault="00AC3F2D" w:rsidP="00701A78">
            <w:pPr>
              <w:pStyle w:val="Prrafodelista"/>
              <w:numPr>
                <w:ilvl w:val="0"/>
                <w:numId w:val="28"/>
              </w:numPr>
              <w:rPr>
                <w:rFonts w:ascii="Futura Lt BT" w:hAnsi="Futura Lt BT" w:cstheme="minorHAnsi"/>
                <w:sz w:val="20"/>
                <w:szCs w:val="20"/>
                <w:lang w:val="es-EC"/>
              </w:rPr>
            </w:pPr>
            <w:r w:rsidRPr="00037E5D">
              <w:rPr>
                <w:rFonts w:ascii="Futura Lt BT" w:hAnsi="Futura Lt BT" w:cstheme="minorHAnsi"/>
                <w:sz w:val="20"/>
                <w:szCs w:val="20"/>
                <w:lang w:val="es-EC"/>
              </w:rPr>
              <w:t xml:space="preserve">Alcance </w:t>
            </w:r>
            <w:r w:rsidR="00FC7F8A" w:rsidRPr="00037E5D">
              <w:rPr>
                <w:rFonts w:ascii="Futura Lt BT" w:hAnsi="Futura Lt BT" w:cstheme="minorHAnsi"/>
                <w:sz w:val="20"/>
                <w:szCs w:val="20"/>
                <w:lang w:val="es-EC"/>
              </w:rPr>
              <w:t>ge</w:t>
            </w:r>
            <w:r w:rsidRPr="00037E5D">
              <w:rPr>
                <w:rFonts w:ascii="Futura Lt BT" w:hAnsi="Futura Lt BT" w:cstheme="minorHAnsi"/>
                <w:sz w:val="20"/>
                <w:szCs w:val="20"/>
                <w:lang w:val="es-EC"/>
              </w:rPr>
              <w:t xml:space="preserve">ográfico: Las soluciones propuestas deben ser aplicables y relevantes para </w:t>
            </w:r>
            <w:r w:rsidR="00B923F6" w:rsidRPr="00037E5D">
              <w:rPr>
                <w:rFonts w:ascii="Futura Lt BT" w:hAnsi="Futura Lt BT" w:cstheme="minorHAnsi"/>
                <w:sz w:val="20"/>
                <w:szCs w:val="20"/>
                <w:lang w:val="es-EC"/>
              </w:rPr>
              <w:t xml:space="preserve">Costa Rica, </w:t>
            </w:r>
            <w:r w:rsidRPr="00037E5D">
              <w:rPr>
                <w:rFonts w:ascii="Futura Lt BT" w:hAnsi="Futura Lt BT" w:cstheme="minorHAnsi"/>
                <w:sz w:val="20"/>
                <w:szCs w:val="20"/>
                <w:lang w:val="es-EC"/>
              </w:rPr>
              <w:t>lo que puede limitar la generalización de los resultados.</w:t>
            </w:r>
          </w:p>
        </w:tc>
      </w:tr>
    </w:tbl>
    <w:p w14:paraId="69769E9C" w14:textId="77777777" w:rsidR="00984DAD" w:rsidRPr="00037E5D" w:rsidRDefault="00984DAD">
      <w:pPr>
        <w:rPr>
          <w:rFonts w:ascii="Futura Lt BT" w:hAnsi="Futura Lt BT" w:cstheme="minorHAnsi"/>
        </w:rPr>
      </w:pPr>
    </w:p>
    <w:tbl>
      <w:tblPr>
        <w:tblStyle w:val="Tablaconcuadrculaclara"/>
        <w:tblW w:w="9990" w:type="dxa"/>
        <w:jc w:val="center"/>
        <w:tblLayout w:type="fixed"/>
        <w:tblLook w:val="04A0" w:firstRow="1" w:lastRow="0" w:firstColumn="1" w:lastColumn="0" w:noHBand="0" w:noVBand="1"/>
      </w:tblPr>
      <w:tblGrid>
        <w:gridCol w:w="9990"/>
      </w:tblGrid>
      <w:tr w:rsidR="00037E5D" w:rsidRPr="00037E5D" w14:paraId="44964B42" w14:textId="77777777" w:rsidTr="00037E5D">
        <w:trPr>
          <w:jc w:val="center"/>
        </w:trPr>
        <w:tc>
          <w:tcPr>
            <w:tcW w:w="9990" w:type="dxa"/>
          </w:tcPr>
          <w:p w14:paraId="44964B41" w14:textId="4C7C49B8" w:rsidR="00196C3A" w:rsidRPr="00037E5D" w:rsidRDefault="00196C3A" w:rsidP="00701A78">
            <w:pPr>
              <w:spacing w:before="100"/>
              <w:jc w:val="center"/>
              <w:rPr>
                <w:rFonts w:ascii="Futura Lt BT" w:hAnsi="Futura Lt BT" w:cstheme="minorHAnsi"/>
                <w:i/>
                <w:sz w:val="20"/>
                <w:szCs w:val="20"/>
                <w:lang w:val="es-EC"/>
              </w:rPr>
            </w:pPr>
            <w:r w:rsidRPr="00037E5D">
              <w:rPr>
                <w:rFonts w:ascii="Futura Lt BT" w:hAnsi="Futura Lt BT" w:cstheme="minorHAnsi"/>
                <w:b/>
                <w:sz w:val="32"/>
                <w:szCs w:val="32"/>
                <w:lang w:val="es-EC"/>
              </w:rPr>
              <w:t>Estructura de gobernabilidad:</w:t>
            </w:r>
          </w:p>
        </w:tc>
      </w:tr>
      <w:tr w:rsidR="00037E5D" w:rsidRPr="00037E5D" w14:paraId="44964B4C" w14:textId="77777777" w:rsidTr="00037E5D">
        <w:trPr>
          <w:jc w:val="center"/>
        </w:trPr>
        <w:tc>
          <w:tcPr>
            <w:tcW w:w="9990" w:type="dxa"/>
          </w:tcPr>
          <w:p w14:paraId="2E42C990" w14:textId="77777777" w:rsidR="00BA423E" w:rsidRPr="00037E5D" w:rsidRDefault="00BA423E" w:rsidP="00BA423E">
            <w:pPr>
              <w:jc w:val="both"/>
              <w:rPr>
                <w:rFonts w:ascii="Futura Lt BT" w:hAnsi="Futura Lt BT" w:cstheme="minorHAnsi"/>
                <w:sz w:val="20"/>
                <w:szCs w:val="20"/>
                <w:lang w:val="es-EC"/>
              </w:rPr>
            </w:pPr>
            <w:r w:rsidRPr="00037E5D">
              <w:rPr>
                <w:rFonts w:ascii="Futura Lt BT" w:hAnsi="Futura Lt BT" w:cstheme="minorHAnsi"/>
                <w:sz w:val="20"/>
                <w:szCs w:val="20"/>
                <w:lang w:val="es-EC"/>
              </w:rPr>
              <w:t xml:space="preserve">El establecimiento de una estructura de gobernabilidad sólida y efectiva es crucial para el éxito del proyecto de diseño y construcción de viviendas sostenibles. Esta estructura está diseñada para asegurar la eficiente toma de decisiones, supervisión rigurosa del progreso, y una alineación impecable con los Objetivos de Desarrollo Sostenible. En primer lugar, el </w:t>
            </w:r>
            <w:r w:rsidRPr="00037E5D">
              <w:rPr>
                <w:rFonts w:ascii="Futura Lt BT" w:hAnsi="Futura Lt BT" w:cstheme="minorHAnsi"/>
                <w:b/>
                <w:bCs/>
                <w:sz w:val="20"/>
                <w:szCs w:val="20"/>
                <w:lang w:val="es-EC"/>
              </w:rPr>
              <w:t>Comité Directivo del Proyecto</w:t>
            </w:r>
            <w:r w:rsidRPr="00037E5D">
              <w:rPr>
                <w:rFonts w:ascii="Futura Lt BT" w:hAnsi="Futura Lt BT" w:cstheme="minorHAnsi"/>
                <w:sz w:val="20"/>
                <w:szCs w:val="20"/>
                <w:lang w:val="es-EC"/>
              </w:rPr>
              <w:t>, compuesto por entidades clave como el Ministerio de Vivienda y Asentamientos Humanos, el Banco Hipotecario de la Vivienda, la Cámara de la Construcción, y empresarios del sector vivienda, tiene la responsabilidad de supervisar el progreso general del proyecto, tomar decisiones estratégicas y resolver problemas de alto nivel. Este comité también se encarga de garantizar que el proyecto se mantenga alineado con los principios de desarrollo sostenible, a través de reuniones regulares, reportes de progreso y la documentación de decisiones críticas.</w:t>
            </w:r>
          </w:p>
          <w:p w14:paraId="278D1592" w14:textId="77777777" w:rsidR="00BA423E" w:rsidRPr="00037E5D" w:rsidRDefault="00BA423E" w:rsidP="00BA423E">
            <w:pPr>
              <w:jc w:val="both"/>
              <w:rPr>
                <w:rFonts w:ascii="Futura Lt BT" w:hAnsi="Futura Lt BT" w:cstheme="minorHAnsi"/>
                <w:sz w:val="20"/>
                <w:szCs w:val="20"/>
                <w:lang w:val="es-EC"/>
              </w:rPr>
            </w:pPr>
            <w:r w:rsidRPr="00037E5D">
              <w:rPr>
                <w:rFonts w:ascii="Futura Lt BT" w:hAnsi="Futura Lt BT" w:cstheme="minorHAnsi"/>
                <w:sz w:val="20"/>
                <w:szCs w:val="20"/>
                <w:lang w:val="es-EC"/>
              </w:rPr>
              <w:t xml:space="preserve">En segundo lugar, el </w:t>
            </w:r>
            <w:r w:rsidRPr="00037E5D">
              <w:rPr>
                <w:rFonts w:ascii="Futura Lt BT" w:hAnsi="Futura Lt BT" w:cstheme="minorHAnsi"/>
                <w:b/>
                <w:bCs/>
                <w:sz w:val="20"/>
                <w:szCs w:val="20"/>
                <w:lang w:val="es-EC"/>
              </w:rPr>
              <w:t>Gerente de Proyecto</w:t>
            </w:r>
            <w:r w:rsidRPr="00037E5D">
              <w:rPr>
                <w:rFonts w:ascii="Futura Lt BT" w:hAnsi="Futura Lt BT" w:cstheme="minorHAnsi"/>
                <w:sz w:val="20"/>
                <w:szCs w:val="20"/>
                <w:lang w:val="es-EC"/>
              </w:rPr>
              <w:t xml:space="preserve"> juega un rol vital en la gestión diaria del proyecto, coordinando equipos, administrando recursos y manteniendo una comunicación fluida con el Comité Directivo. Este rol incluye la autoridad para tomar decisiones operativas dentro del alcance y presupuesto del proyecto, y la responsabilidad de elevar cualquier problema significativo al Comité Directivo.</w:t>
            </w:r>
          </w:p>
          <w:p w14:paraId="44964B4B" w14:textId="7131837B" w:rsidR="00196C3A" w:rsidRPr="00037E5D" w:rsidRDefault="00BA423E" w:rsidP="00196C3A">
            <w:pPr>
              <w:jc w:val="both"/>
              <w:rPr>
                <w:rFonts w:ascii="Futura Lt BT" w:hAnsi="Futura Lt BT" w:cstheme="minorHAnsi"/>
              </w:rPr>
            </w:pPr>
            <w:r w:rsidRPr="00037E5D">
              <w:rPr>
                <w:rFonts w:ascii="Futura Lt BT" w:hAnsi="Futura Lt BT" w:cstheme="minorHAnsi"/>
                <w:sz w:val="20"/>
                <w:szCs w:val="20"/>
                <w:lang w:val="es-EC"/>
              </w:rPr>
              <w:t xml:space="preserve">Por último, el </w:t>
            </w:r>
            <w:r w:rsidRPr="00037E5D">
              <w:rPr>
                <w:rFonts w:ascii="Futura Lt BT" w:hAnsi="Futura Lt BT" w:cstheme="minorHAnsi"/>
                <w:b/>
                <w:bCs/>
                <w:sz w:val="20"/>
                <w:szCs w:val="20"/>
                <w:lang w:val="es-EC"/>
              </w:rPr>
              <w:t>Equipo de Trabajo</w:t>
            </w:r>
            <w:r w:rsidRPr="00037E5D">
              <w:rPr>
                <w:rFonts w:ascii="Futura Lt BT" w:hAnsi="Futura Lt BT" w:cstheme="minorHAnsi"/>
                <w:sz w:val="20"/>
                <w:szCs w:val="20"/>
                <w:lang w:val="es-EC"/>
              </w:rPr>
              <w:t xml:space="preserve"> está enfocado en áreas específicas, tales como el diseño sostenible, la selección de materiales, el desarrollo de prototipo y la creación del manual práctico. Estos equipos siguen un plan de trabajo definido, realizan revisiones periódicas y proporcionan actualizaciones constantes al Gerente de Proyecto, asegurando así que cada aspecto del proyecto se desarrolle de manera eficiente y efectiva. Esta estructura organizativa es fundamental para dirigir el proyecto hacia sus objetivos, manteniendo un compromiso firme con la sostenibilidad y la responsabilidad social.</w:t>
            </w:r>
          </w:p>
        </w:tc>
      </w:tr>
    </w:tbl>
    <w:p w14:paraId="4A171E27" w14:textId="1978501C" w:rsidR="003B1C6B" w:rsidRPr="00037E5D" w:rsidRDefault="003B1C6B">
      <w:pPr>
        <w:rPr>
          <w:rFonts w:ascii="Futura Lt BT" w:hAnsi="Futura Lt BT" w:cstheme="minorHAnsi"/>
        </w:rPr>
      </w:pPr>
    </w:p>
    <w:tbl>
      <w:tblPr>
        <w:tblStyle w:val="Tablaconcuadrculaclara"/>
        <w:tblW w:w="9990" w:type="dxa"/>
        <w:jc w:val="center"/>
        <w:tblLayout w:type="fixed"/>
        <w:tblLook w:val="04A0" w:firstRow="1" w:lastRow="0" w:firstColumn="1" w:lastColumn="0" w:noHBand="0" w:noVBand="1"/>
      </w:tblPr>
      <w:tblGrid>
        <w:gridCol w:w="9990"/>
      </w:tblGrid>
      <w:tr w:rsidR="00037E5D" w:rsidRPr="00037E5D" w14:paraId="44964B4E" w14:textId="77777777" w:rsidTr="00037E5D">
        <w:trPr>
          <w:jc w:val="center"/>
        </w:trPr>
        <w:tc>
          <w:tcPr>
            <w:tcW w:w="9990" w:type="dxa"/>
          </w:tcPr>
          <w:p w14:paraId="44964B4D" w14:textId="5CAEC374" w:rsidR="00196C3A" w:rsidRPr="00037E5D" w:rsidRDefault="003B1C6B" w:rsidP="00701A78">
            <w:pPr>
              <w:spacing w:before="100"/>
              <w:jc w:val="center"/>
              <w:rPr>
                <w:rFonts w:ascii="Futura Lt BT" w:hAnsi="Futura Lt BT" w:cstheme="minorHAnsi"/>
                <w:b/>
                <w:lang w:val="es-EC"/>
              </w:rPr>
            </w:pPr>
            <w:r w:rsidRPr="00037E5D">
              <w:rPr>
                <w:rFonts w:ascii="Futura Lt BT" w:hAnsi="Futura Lt BT" w:cstheme="minorHAnsi"/>
              </w:rPr>
              <w:lastRenderedPageBreak/>
              <w:br w:type="column"/>
            </w:r>
            <w:r w:rsidR="00196C3A" w:rsidRPr="00037E5D">
              <w:rPr>
                <w:rFonts w:ascii="Futura Lt BT" w:hAnsi="Futura Lt BT" w:cstheme="minorHAnsi"/>
                <w:b/>
                <w:sz w:val="32"/>
                <w:szCs w:val="32"/>
                <w:lang w:val="es-EC"/>
              </w:rPr>
              <w:t>Gerencia del Proyecto:</w:t>
            </w:r>
          </w:p>
        </w:tc>
      </w:tr>
      <w:tr w:rsidR="00037E5D" w:rsidRPr="00037E5D" w14:paraId="44964B51" w14:textId="77777777" w:rsidTr="00037E5D">
        <w:trPr>
          <w:jc w:val="center"/>
        </w:trPr>
        <w:tc>
          <w:tcPr>
            <w:tcW w:w="9990" w:type="dxa"/>
          </w:tcPr>
          <w:p w14:paraId="44964B50" w14:textId="20A45282" w:rsidR="00196C3A" w:rsidRPr="00037E5D" w:rsidRDefault="005712DC" w:rsidP="00196C3A">
            <w:pPr>
              <w:spacing w:before="100"/>
              <w:jc w:val="both"/>
              <w:rPr>
                <w:rFonts w:ascii="Futura Lt BT" w:hAnsi="Futura Lt BT" w:cstheme="minorHAnsi"/>
                <w:b/>
                <w:highlight w:val="yellow"/>
                <w:lang w:val="es-EC"/>
              </w:rPr>
            </w:pPr>
            <w:r w:rsidRPr="00037E5D">
              <w:rPr>
                <w:rFonts w:ascii="Futura Lt BT" w:hAnsi="Futura Lt BT" w:cstheme="minorHAnsi"/>
                <w:noProof/>
              </w:rPr>
              <w:object w:dxaOrig="12211" w:dyaOrig="10876" w14:anchorId="04EED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35pt" o:ole="">
                  <v:imagedata r:id="rId8" o:title=""/>
                </v:shape>
                <o:OLEObject Type="Embed" ProgID="Visio.Drawing.15" ShapeID="_x0000_i1025" DrawAspect="Content" ObjectID="_1768998125" r:id="rId9"/>
              </w:object>
            </w:r>
          </w:p>
        </w:tc>
      </w:tr>
    </w:tbl>
    <w:p w14:paraId="4F989352" w14:textId="77777777" w:rsidR="00E264F0" w:rsidRPr="00037E5D" w:rsidRDefault="00E264F0">
      <w:pPr>
        <w:rPr>
          <w:rFonts w:ascii="Futura Lt BT" w:hAnsi="Futura Lt BT" w:cstheme="minorHAnsi"/>
        </w:rPr>
      </w:pPr>
    </w:p>
    <w:tbl>
      <w:tblPr>
        <w:tblStyle w:val="Tablaconcuadrculaclara"/>
        <w:tblW w:w="9990" w:type="dxa"/>
        <w:jc w:val="center"/>
        <w:tblLayout w:type="fixed"/>
        <w:tblLook w:val="04A0" w:firstRow="1" w:lastRow="0" w:firstColumn="1" w:lastColumn="0" w:noHBand="0" w:noVBand="1"/>
      </w:tblPr>
      <w:tblGrid>
        <w:gridCol w:w="9990"/>
      </w:tblGrid>
      <w:tr w:rsidR="00037E5D" w:rsidRPr="00037E5D" w14:paraId="44964B53" w14:textId="77777777" w:rsidTr="00037E5D">
        <w:trPr>
          <w:jc w:val="center"/>
        </w:trPr>
        <w:tc>
          <w:tcPr>
            <w:tcW w:w="9990" w:type="dxa"/>
          </w:tcPr>
          <w:p w14:paraId="44964B52" w14:textId="66B9CFEB" w:rsidR="00196C3A" w:rsidRPr="00037E5D" w:rsidRDefault="00196C3A" w:rsidP="00701A78">
            <w:pPr>
              <w:spacing w:before="100"/>
              <w:jc w:val="center"/>
              <w:rPr>
                <w:rFonts w:ascii="Futura Lt BT" w:hAnsi="Futura Lt BT" w:cstheme="minorHAnsi"/>
                <w:b/>
                <w:sz w:val="32"/>
                <w:szCs w:val="32"/>
                <w:lang w:val="es-EC"/>
              </w:rPr>
            </w:pPr>
            <w:r w:rsidRPr="00037E5D">
              <w:rPr>
                <w:rFonts w:ascii="Futura Lt BT" w:hAnsi="Futura Lt BT" w:cstheme="minorHAnsi"/>
                <w:b/>
                <w:sz w:val="32"/>
                <w:szCs w:val="32"/>
                <w:lang w:val="es-EC"/>
              </w:rPr>
              <w:t>Control de Cambios:</w:t>
            </w:r>
          </w:p>
        </w:tc>
      </w:tr>
      <w:tr w:rsidR="00037E5D" w:rsidRPr="00037E5D" w14:paraId="44964B56" w14:textId="77777777" w:rsidTr="00037E5D">
        <w:trPr>
          <w:jc w:val="center"/>
        </w:trPr>
        <w:tc>
          <w:tcPr>
            <w:tcW w:w="9990" w:type="dxa"/>
          </w:tcPr>
          <w:p w14:paraId="00D2C404" w14:textId="73B65E7B" w:rsidR="00717915" w:rsidRPr="00037E5D" w:rsidRDefault="00717915" w:rsidP="00717915">
            <w:pPr>
              <w:spacing w:before="100"/>
              <w:jc w:val="both"/>
              <w:rPr>
                <w:rFonts w:ascii="Futura Lt BT" w:hAnsi="Futura Lt BT" w:cstheme="minorHAnsi"/>
                <w:sz w:val="20"/>
                <w:szCs w:val="20"/>
                <w:lang w:val="es-EC"/>
              </w:rPr>
            </w:pPr>
            <w:r w:rsidRPr="00037E5D">
              <w:rPr>
                <w:rFonts w:ascii="Futura Lt BT" w:hAnsi="Futura Lt BT" w:cstheme="minorHAnsi"/>
                <w:sz w:val="20"/>
                <w:szCs w:val="20"/>
                <w:lang w:val="es-EC"/>
              </w:rPr>
              <w:t xml:space="preserve">Para integrar los mecanismos de seguimiento y control de cambios significativos al proyecto en la estructura organizativa propuesta, se </w:t>
            </w:r>
            <w:r w:rsidR="00AD4C09" w:rsidRPr="00037E5D">
              <w:rPr>
                <w:rFonts w:ascii="Futura Lt BT" w:hAnsi="Futura Lt BT" w:cstheme="minorHAnsi"/>
                <w:sz w:val="20"/>
                <w:szCs w:val="20"/>
                <w:lang w:val="es-EC"/>
              </w:rPr>
              <w:t>realizarán</w:t>
            </w:r>
            <w:r w:rsidRPr="00037E5D">
              <w:rPr>
                <w:rFonts w:ascii="Futura Lt BT" w:hAnsi="Futura Lt BT" w:cstheme="minorHAnsi"/>
                <w:sz w:val="20"/>
                <w:szCs w:val="20"/>
                <w:lang w:val="es-EC"/>
              </w:rPr>
              <w:t xml:space="preserve"> las siguientes acciones: </w:t>
            </w:r>
          </w:p>
          <w:p w14:paraId="1A39D2C6" w14:textId="294D7EEB" w:rsidR="00A101C6" w:rsidRPr="00037E5D" w:rsidRDefault="00A101C6" w:rsidP="00A92F9F">
            <w:pPr>
              <w:pStyle w:val="Prrafodelista"/>
              <w:numPr>
                <w:ilvl w:val="0"/>
                <w:numId w:val="24"/>
              </w:numPr>
              <w:spacing w:before="100"/>
              <w:jc w:val="both"/>
              <w:rPr>
                <w:rFonts w:ascii="Futura Lt BT" w:hAnsi="Futura Lt BT" w:cstheme="minorHAnsi"/>
                <w:sz w:val="20"/>
                <w:szCs w:val="20"/>
                <w:lang w:val="es-EC"/>
              </w:rPr>
            </w:pPr>
            <w:r w:rsidRPr="00037E5D">
              <w:rPr>
                <w:rFonts w:ascii="Futura Lt BT" w:hAnsi="Futura Lt BT" w:cstheme="minorHAnsi"/>
                <w:sz w:val="20"/>
                <w:szCs w:val="20"/>
                <w:lang w:val="es-EC"/>
              </w:rPr>
              <w:t>Cambios que impactan el plan para la dirección del proyecto, las líneas base, las políticas y los procedimientos, el acta de constitución y/o los contratos</w:t>
            </w:r>
          </w:p>
          <w:p w14:paraId="636348CE" w14:textId="33576099" w:rsidR="00717915" w:rsidRPr="00037E5D" w:rsidRDefault="00717915" w:rsidP="00717915">
            <w:pPr>
              <w:spacing w:before="100"/>
              <w:jc w:val="both"/>
              <w:rPr>
                <w:rFonts w:ascii="Futura Lt BT" w:hAnsi="Futura Lt BT" w:cstheme="minorHAnsi"/>
                <w:sz w:val="20"/>
                <w:szCs w:val="20"/>
                <w:lang w:val="es-EC"/>
              </w:rPr>
            </w:pPr>
            <w:r w:rsidRPr="00037E5D">
              <w:rPr>
                <w:rFonts w:ascii="Futura Lt BT" w:hAnsi="Futura Lt BT" w:cstheme="minorHAnsi"/>
                <w:b/>
                <w:bCs/>
                <w:sz w:val="20"/>
                <w:szCs w:val="20"/>
                <w:lang w:val="es-EC"/>
              </w:rPr>
              <w:t>Comité Ejecutivo:</w:t>
            </w:r>
            <w:r w:rsidRPr="00037E5D">
              <w:rPr>
                <w:rFonts w:ascii="Futura Lt BT" w:hAnsi="Futura Lt BT" w:cstheme="minorHAnsi"/>
                <w:sz w:val="20"/>
                <w:szCs w:val="20"/>
                <w:lang w:val="es-EC"/>
              </w:rPr>
              <w:t xml:space="preserve"> Este grupo, que incluye representantes del Ministerio de Vivienda, el Banco Hipotecario de la Vivienda, la Cámara Costarricense de la Construcción y la Empresa Privada, es responsable de la aprobación final de los cambios significativos. Este comité establecerá políticas y procedimientos para la gestión de cambios y actuará como la última instancia de decisión cuando hay desacuerdos o cambios de alto impacto.</w:t>
            </w:r>
          </w:p>
          <w:p w14:paraId="6AD4A860" w14:textId="0F2619F5" w:rsidR="00F96441" w:rsidRPr="00037E5D" w:rsidRDefault="00F96441" w:rsidP="00A92F9F">
            <w:pPr>
              <w:pStyle w:val="Prrafodelista"/>
              <w:numPr>
                <w:ilvl w:val="0"/>
                <w:numId w:val="24"/>
              </w:numPr>
              <w:spacing w:before="100"/>
              <w:jc w:val="both"/>
              <w:rPr>
                <w:rFonts w:ascii="Futura Lt BT" w:hAnsi="Futura Lt BT" w:cstheme="minorHAnsi"/>
                <w:sz w:val="20"/>
                <w:szCs w:val="20"/>
                <w:lang w:val="es-EC"/>
              </w:rPr>
            </w:pPr>
            <w:r w:rsidRPr="00037E5D">
              <w:rPr>
                <w:rFonts w:ascii="Futura Lt BT" w:hAnsi="Futura Lt BT" w:cstheme="minorHAnsi"/>
                <w:sz w:val="20"/>
                <w:szCs w:val="20"/>
                <w:lang w:val="es-EC"/>
              </w:rPr>
              <w:lastRenderedPageBreak/>
              <w:t>Cambios que no impactan el plan para la dirección del proyecto, las políticas y los procedimientos, el acta de constitución y/o los contratos</w:t>
            </w:r>
            <w:r w:rsidR="004962E7" w:rsidRPr="00037E5D">
              <w:rPr>
                <w:rFonts w:ascii="Futura Lt BT" w:hAnsi="Futura Lt BT" w:cstheme="minorHAnsi"/>
                <w:sz w:val="20"/>
                <w:szCs w:val="20"/>
                <w:lang w:val="es-EC"/>
              </w:rPr>
              <w:t>, o bien que su impacto en las líneas base sea inferior al 5%:</w:t>
            </w:r>
          </w:p>
          <w:p w14:paraId="09243891" w14:textId="5BC77FE5" w:rsidR="00717915" w:rsidRPr="00037E5D" w:rsidRDefault="00717915" w:rsidP="00717915">
            <w:pPr>
              <w:spacing w:before="100"/>
              <w:jc w:val="both"/>
              <w:rPr>
                <w:rFonts w:ascii="Futura Lt BT" w:hAnsi="Futura Lt BT" w:cstheme="minorHAnsi"/>
                <w:sz w:val="20"/>
                <w:szCs w:val="20"/>
                <w:lang w:val="es-EC"/>
              </w:rPr>
            </w:pPr>
            <w:r w:rsidRPr="00037E5D">
              <w:rPr>
                <w:rFonts w:ascii="Futura Lt BT" w:hAnsi="Futura Lt BT" w:cstheme="minorHAnsi"/>
                <w:b/>
                <w:bCs/>
                <w:sz w:val="20"/>
                <w:szCs w:val="20"/>
                <w:lang w:val="es-EC"/>
              </w:rPr>
              <w:t>Gerente de Proyecto:</w:t>
            </w:r>
            <w:r w:rsidRPr="00037E5D">
              <w:rPr>
                <w:rFonts w:ascii="Futura Lt BT" w:hAnsi="Futura Lt BT" w:cstheme="minorHAnsi"/>
                <w:sz w:val="20"/>
                <w:szCs w:val="20"/>
                <w:lang w:val="es-EC"/>
              </w:rPr>
              <w:t xml:space="preserve"> Es el responsable de gestionar el día a día del proceso de control de cambios, asegurándose de que todos los cambios se documenten, evalúen y comuniquen adecuadamente. El Gerente de Proyecto actuaría como un punto de enlace entre el equipo de proyecto y el Comité Ejecutivo, presentando los cambios propuestos para su revisión y aprobación.</w:t>
            </w:r>
          </w:p>
          <w:p w14:paraId="44202FCC" w14:textId="6F15ED0B" w:rsidR="00717915" w:rsidRPr="00037E5D" w:rsidRDefault="00717915" w:rsidP="00717915">
            <w:pPr>
              <w:spacing w:before="100"/>
              <w:jc w:val="both"/>
              <w:rPr>
                <w:rFonts w:ascii="Futura Lt BT" w:hAnsi="Futura Lt BT" w:cstheme="minorHAnsi"/>
                <w:sz w:val="20"/>
                <w:szCs w:val="20"/>
                <w:lang w:val="es-EC"/>
              </w:rPr>
            </w:pPr>
            <w:r w:rsidRPr="00037E5D">
              <w:rPr>
                <w:rFonts w:ascii="Futura Lt BT" w:hAnsi="Futura Lt BT" w:cstheme="minorHAnsi"/>
                <w:sz w:val="20"/>
                <w:szCs w:val="20"/>
                <w:lang w:val="es-EC"/>
              </w:rPr>
              <w:t>El Gerente de Proyecto deberá establecer canales de comunicación con todos los niveles del organigrama para asegurar que los cambios sean comprendidos y que las implicaciones sean claras para todos los involucrados, y deberá utilizar herramientas de gestión de proyectos para documentar y seguir el progreso de los cambios. Estas herramientas pueden ser accesibles por todos los miembros del equipo para promover la transparencia y la colaboración.</w:t>
            </w:r>
          </w:p>
          <w:p w14:paraId="47098852" w14:textId="75F0DF4E" w:rsidR="00717915" w:rsidRPr="00037E5D" w:rsidRDefault="00717915" w:rsidP="00717915">
            <w:pPr>
              <w:spacing w:before="100"/>
              <w:jc w:val="both"/>
              <w:rPr>
                <w:rFonts w:ascii="Futura Lt BT" w:hAnsi="Futura Lt BT" w:cstheme="minorHAnsi"/>
                <w:sz w:val="20"/>
                <w:szCs w:val="20"/>
                <w:lang w:val="es-EC"/>
              </w:rPr>
            </w:pPr>
            <w:r w:rsidRPr="00037E5D">
              <w:rPr>
                <w:rFonts w:ascii="Futura Lt BT" w:hAnsi="Futura Lt BT" w:cstheme="minorHAnsi"/>
                <w:b/>
                <w:bCs/>
                <w:sz w:val="20"/>
                <w:szCs w:val="20"/>
                <w:lang w:val="es-EC"/>
              </w:rPr>
              <w:t>Especialistas en diseño sostenible y Especialistas en selección de materiales:</w:t>
            </w:r>
            <w:r w:rsidRPr="00037E5D">
              <w:rPr>
                <w:rFonts w:ascii="Futura Lt BT" w:hAnsi="Futura Lt BT" w:cstheme="minorHAnsi"/>
                <w:sz w:val="20"/>
                <w:szCs w:val="20"/>
                <w:lang w:val="es-EC"/>
              </w:rPr>
              <w:t xml:space="preserve"> Estos profesionales, incluyendo arquitectos e ingenieros civiles, son los responsables de evaluar el impacto técnico de los cambios propuestos. Les corresponde analizar cómo los cambios afectan los estándares de diseño sostenible y la selección de materiales. Sus recomendaciones son fundamentales para la evaluación de impacto que el Gerente de Proyecto presentará al Comité Ejecutivo.</w:t>
            </w:r>
          </w:p>
          <w:p w14:paraId="76EC2AB1" w14:textId="70DF0C3C" w:rsidR="00717915" w:rsidRPr="00037E5D" w:rsidRDefault="00717915" w:rsidP="00717915">
            <w:pPr>
              <w:spacing w:before="100"/>
              <w:jc w:val="both"/>
              <w:rPr>
                <w:rFonts w:ascii="Futura Lt BT" w:hAnsi="Futura Lt BT" w:cstheme="minorHAnsi"/>
                <w:sz w:val="20"/>
                <w:szCs w:val="20"/>
                <w:lang w:val="es-EC"/>
              </w:rPr>
            </w:pPr>
            <w:r w:rsidRPr="00037E5D">
              <w:rPr>
                <w:rFonts w:ascii="Futura Lt BT" w:hAnsi="Futura Lt BT" w:cstheme="minorHAnsi"/>
                <w:b/>
                <w:bCs/>
                <w:sz w:val="20"/>
                <w:szCs w:val="20"/>
                <w:lang w:val="es-EC"/>
              </w:rPr>
              <w:t>Especialistas en desarrollo de prototipo:</w:t>
            </w:r>
            <w:r w:rsidRPr="00037E5D">
              <w:rPr>
                <w:rFonts w:ascii="Futura Lt BT" w:hAnsi="Futura Lt BT" w:cstheme="minorHAnsi"/>
                <w:sz w:val="20"/>
                <w:szCs w:val="20"/>
                <w:lang w:val="es-EC"/>
              </w:rPr>
              <w:t xml:space="preserve"> El equipo encargado del diseño arquitectónico y de la integración de características de sostenibilidad estaría implicado en la revisión de cambios relacionados con el prototipo de vivienda. Estos especialistas deberán asegurarse de que los cambios no comprometan la funcionalidad, la eficiencia energética y el confort ambiental del diseño.</w:t>
            </w:r>
          </w:p>
          <w:p w14:paraId="44964B55" w14:textId="2C9DA885" w:rsidR="00196C3A" w:rsidRPr="00037E5D" w:rsidRDefault="00717915" w:rsidP="00717915">
            <w:pPr>
              <w:spacing w:before="100"/>
              <w:jc w:val="both"/>
              <w:rPr>
                <w:rFonts w:ascii="Futura Lt BT" w:hAnsi="Futura Lt BT" w:cstheme="minorHAnsi"/>
                <w:highlight w:val="yellow"/>
                <w:lang w:val="es-EC"/>
              </w:rPr>
            </w:pPr>
            <w:r w:rsidRPr="00037E5D">
              <w:rPr>
                <w:rFonts w:ascii="Futura Lt BT" w:hAnsi="Futura Lt BT" w:cstheme="minorHAnsi"/>
                <w:sz w:val="20"/>
                <w:szCs w:val="20"/>
                <w:lang w:val="es-EC"/>
              </w:rPr>
              <w:t>Cabe destacar que todos los miembros del equipo, especialmente aquellos involucrados en el diseño sostenible y la selección de materiales, deben estar bien informados sobre los procedimientos de control de cambios y cómo utilizar las herramientas de gestión de proyectos</w:t>
            </w:r>
            <w:r w:rsidRPr="00037E5D">
              <w:rPr>
                <w:rFonts w:ascii="Futura Lt BT" w:hAnsi="Futura Lt BT" w:cstheme="minorHAnsi"/>
                <w:lang w:val="es-EC"/>
              </w:rPr>
              <w:t>.</w:t>
            </w:r>
          </w:p>
        </w:tc>
      </w:tr>
    </w:tbl>
    <w:p w14:paraId="6FBE4F91" w14:textId="77777777" w:rsidR="00E264F0" w:rsidRPr="00037E5D" w:rsidRDefault="00E264F0" w:rsidP="00AA4FB7">
      <w:pPr>
        <w:rPr>
          <w:rFonts w:ascii="Futura Lt BT" w:hAnsi="Futura Lt BT" w:cstheme="minorHAnsi"/>
          <w:lang w:val="es-EC"/>
        </w:rPr>
      </w:pPr>
    </w:p>
    <w:tbl>
      <w:tblPr>
        <w:tblStyle w:val="Tablaconcuadrculaclara"/>
        <w:tblW w:w="9990" w:type="dxa"/>
        <w:jc w:val="center"/>
        <w:tblLook w:val="04A0" w:firstRow="1" w:lastRow="0" w:firstColumn="1" w:lastColumn="0" w:noHBand="0" w:noVBand="1"/>
      </w:tblPr>
      <w:tblGrid>
        <w:gridCol w:w="9990"/>
      </w:tblGrid>
      <w:tr w:rsidR="00037E5D" w:rsidRPr="00037E5D" w14:paraId="44964B59" w14:textId="77777777" w:rsidTr="00037E5D">
        <w:trPr>
          <w:jc w:val="center"/>
        </w:trPr>
        <w:tc>
          <w:tcPr>
            <w:tcW w:w="9990" w:type="dxa"/>
          </w:tcPr>
          <w:p w14:paraId="44964B58" w14:textId="2492D0C2" w:rsidR="00AA4FB7" w:rsidRPr="00037E5D" w:rsidRDefault="00AA4FB7" w:rsidP="00037E5D">
            <w:pPr>
              <w:spacing w:before="100"/>
              <w:rPr>
                <w:rFonts w:ascii="Futura Lt BT" w:hAnsi="Futura Lt BT" w:cstheme="minorHAnsi"/>
                <w:b/>
                <w:lang w:val="es-EC"/>
              </w:rPr>
            </w:pPr>
            <w:r w:rsidRPr="00037E5D">
              <w:rPr>
                <w:rFonts w:ascii="Futura Lt BT" w:hAnsi="Futura Lt BT" w:cstheme="minorHAnsi"/>
                <w:b/>
                <w:sz w:val="32"/>
                <w:szCs w:val="32"/>
                <w:lang w:val="es-EC"/>
              </w:rPr>
              <w:t>Aprobado por</w:t>
            </w:r>
            <w:r w:rsidRPr="00037E5D">
              <w:rPr>
                <w:rFonts w:ascii="Futura Lt BT" w:hAnsi="Futura Lt BT" w:cstheme="minorHAnsi"/>
                <w:b/>
                <w:lang w:val="es-EC"/>
              </w:rPr>
              <w:t>:</w:t>
            </w:r>
          </w:p>
        </w:tc>
      </w:tr>
      <w:tr w:rsidR="00037E5D" w:rsidRPr="00037E5D" w14:paraId="44964B5E" w14:textId="77777777" w:rsidTr="00037E5D">
        <w:trPr>
          <w:jc w:val="center"/>
        </w:trPr>
        <w:tc>
          <w:tcPr>
            <w:tcW w:w="9990" w:type="dxa"/>
          </w:tcPr>
          <w:p w14:paraId="15534028" w14:textId="77777777" w:rsidR="00102781" w:rsidRPr="00037E5D" w:rsidRDefault="00102781" w:rsidP="00984DAD">
            <w:pPr>
              <w:ind w:left="360"/>
              <w:contextualSpacing/>
              <w:rPr>
                <w:rFonts w:ascii="Futura Lt BT" w:hAnsi="Futura Lt BT" w:cstheme="minorHAnsi"/>
                <w:spacing w:val="-2"/>
                <w:lang w:val="es-ES"/>
              </w:rPr>
            </w:pPr>
          </w:p>
          <w:p w14:paraId="258E6B90" w14:textId="31593311" w:rsidR="001D434A" w:rsidRPr="00037E5D" w:rsidRDefault="001D434A" w:rsidP="00037E5D">
            <w:pPr>
              <w:contextualSpacing/>
              <w:jc w:val="both"/>
              <w:rPr>
                <w:rFonts w:ascii="Futura Lt BT" w:hAnsi="Futura Lt BT" w:cstheme="minorHAnsi"/>
                <w:spacing w:val="-2"/>
                <w:sz w:val="20"/>
                <w:szCs w:val="20"/>
                <w:lang w:val="es-ES"/>
              </w:rPr>
            </w:pPr>
            <w:r w:rsidRPr="00037E5D">
              <w:rPr>
                <w:rFonts w:ascii="Futura Lt BT" w:hAnsi="Futura Lt BT" w:cstheme="minorHAnsi"/>
                <w:spacing w:val="-2"/>
                <w:sz w:val="20"/>
                <w:szCs w:val="20"/>
                <w:lang w:val="es-ES"/>
              </w:rPr>
              <w:t xml:space="preserve">El grupo encargado de autorizar el proyecto es el Comité Ejecutivo, incluye representantes de alto nivel de las entidades clave como el Ministro de Vivienda de turno, </w:t>
            </w:r>
            <w:r w:rsidR="00037E5D" w:rsidRPr="00037E5D">
              <w:rPr>
                <w:rFonts w:ascii="Futura Lt BT" w:hAnsi="Futura Lt BT" w:cstheme="minorHAnsi"/>
                <w:spacing w:val="-2"/>
                <w:sz w:val="20"/>
                <w:szCs w:val="20"/>
                <w:lang w:val="es-ES"/>
              </w:rPr>
              <w:t>xxxx</w:t>
            </w:r>
            <w:r w:rsidRPr="00037E5D">
              <w:rPr>
                <w:rFonts w:ascii="Futura Lt BT" w:hAnsi="Futura Lt BT" w:cstheme="minorHAnsi"/>
                <w:spacing w:val="-2"/>
                <w:sz w:val="20"/>
                <w:szCs w:val="20"/>
                <w:lang w:val="es-ES"/>
              </w:rPr>
              <w:t xml:space="preserve">, el Gerente del Banco Hipotecario de la Vivienda, </w:t>
            </w:r>
            <w:r w:rsidR="00037E5D" w:rsidRPr="00037E5D">
              <w:rPr>
                <w:rFonts w:ascii="Futura Lt BT" w:hAnsi="Futura Lt BT" w:cstheme="minorHAnsi"/>
                <w:spacing w:val="-2"/>
                <w:sz w:val="20"/>
                <w:szCs w:val="20"/>
                <w:lang w:val="es-ES"/>
              </w:rPr>
              <w:t>xxxx</w:t>
            </w:r>
            <w:r w:rsidRPr="00037E5D">
              <w:rPr>
                <w:rFonts w:ascii="Futura Lt BT" w:hAnsi="Futura Lt BT" w:cstheme="minorHAnsi"/>
                <w:spacing w:val="-2"/>
                <w:sz w:val="20"/>
                <w:szCs w:val="20"/>
                <w:lang w:val="es-ES"/>
              </w:rPr>
              <w:t xml:space="preserve">, y el Presidente de la Cámara Costarricense de la Construcción, </w:t>
            </w:r>
            <w:r w:rsidR="00037E5D" w:rsidRPr="00037E5D">
              <w:rPr>
                <w:rFonts w:ascii="Futura Lt BT" w:hAnsi="Futura Lt BT" w:cstheme="minorHAnsi"/>
                <w:spacing w:val="-2"/>
                <w:sz w:val="20"/>
                <w:szCs w:val="20"/>
                <w:lang w:val="es-ES"/>
              </w:rPr>
              <w:t>xxxx</w:t>
            </w:r>
            <w:r w:rsidRPr="00037E5D">
              <w:rPr>
                <w:rFonts w:ascii="Futura Lt BT" w:hAnsi="Futura Lt BT" w:cstheme="minorHAnsi"/>
                <w:spacing w:val="-2"/>
                <w:sz w:val="20"/>
                <w:szCs w:val="20"/>
                <w:lang w:val="es-ES"/>
              </w:rPr>
              <w:t xml:space="preserve"> y un representante de la empresa privada del sector vivienda social, </w:t>
            </w:r>
            <w:r w:rsidR="00037E5D" w:rsidRPr="00037E5D">
              <w:rPr>
                <w:rFonts w:ascii="Futura Lt BT" w:hAnsi="Futura Lt BT" w:cstheme="minorHAnsi"/>
                <w:spacing w:val="-2"/>
                <w:sz w:val="20"/>
                <w:szCs w:val="20"/>
                <w:lang w:val="es-ES"/>
              </w:rPr>
              <w:t>xxxxx</w:t>
            </w:r>
            <w:r w:rsidRPr="00037E5D">
              <w:rPr>
                <w:rFonts w:ascii="Futura Lt BT" w:hAnsi="Futura Lt BT" w:cstheme="minorHAnsi"/>
                <w:spacing w:val="-2"/>
                <w:sz w:val="20"/>
                <w:szCs w:val="20"/>
                <w:lang w:val="es-ES"/>
              </w:rPr>
              <w:t>.</w:t>
            </w:r>
          </w:p>
          <w:p w14:paraId="63C14CC6" w14:textId="77777777" w:rsidR="001D434A" w:rsidRPr="00037E5D" w:rsidRDefault="001D434A" w:rsidP="00037E5D">
            <w:pPr>
              <w:ind w:left="360"/>
              <w:contextualSpacing/>
              <w:jc w:val="both"/>
              <w:rPr>
                <w:rFonts w:ascii="Futura Lt BT" w:hAnsi="Futura Lt BT" w:cstheme="minorHAnsi"/>
                <w:spacing w:val="-2"/>
                <w:sz w:val="20"/>
                <w:szCs w:val="20"/>
                <w:lang w:val="es-ES"/>
              </w:rPr>
            </w:pPr>
          </w:p>
          <w:p w14:paraId="09AB437D" w14:textId="77777777" w:rsidR="001D434A" w:rsidRPr="00037E5D" w:rsidRDefault="001D434A" w:rsidP="00037E5D">
            <w:pPr>
              <w:contextualSpacing/>
              <w:jc w:val="both"/>
              <w:rPr>
                <w:rFonts w:ascii="Futura Lt BT" w:hAnsi="Futura Lt BT" w:cstheme="minorHAnsi"/>
                <w:spacing w:val="-2"/>
                <w:sz w:val="20"/>
                <w:szCs w:val="20"/>
                <w:lang w:val="es-ES"/>
              </w:rPr>
            </w:pPr>
            <w:r w:rsidRPr="00037E5D">
              <w:rPr>
                <w:rFonts w:ascii="Futura Lt BT" w:hAnsi="Futura Lt BT" w:cstheme="minorHAnsi"/>
                <w:spacing w:val="-2"/>
                <w:sz w:val="20"/>
                <w:szCs w:val="20"/>
                <w:lang w:val="es-ES"/>
              </w:rPr>
              <w:t xml:space="preserve">El Comité Ejecutivo tendrá la responsabilidad de tomar decisiones estratégicas, incluyendo la autorización del proyecto, basándose en las recomendaciones y la información proporcionada por el Gerente de Proyecto y los equipos especializados en diseño sostenible y desarrollo de prototipos. </w:t>
            </w:r>
          </w:p>
          <w:p w14:paraId="0A48DA0C" w14:textId="77777777" w:rsidR="001D434A" w:rsidRPr="00037E5D" w:rsidRDefault="001D434A" w:rsidP="00037E5D">
            <w:pPr>
              <w:ind w:left="360"/>
              <w:contextualSpacing/>
              <w:jc w:val="both"/>
              <w:rPr>
                <w:rFonts w:ascii="Futura Lt BT" w:hAnsi="Futura Lt BT" w:cstheme="minorHAnsi"/>
                <w:spacing w:val="-2"/>
                <w:sz w:val="20"/>
                <w:szCs w:val="20"/>
                <w:lang w:val="es-ES"/>
              </w:rPr>
            </w:pPr>
          </w:p>
          <w:p w14:paraId="44964B5D" w14:textId="42B37D02" w:rsidR="00AA4FB7" w:rsidRPr="00037E5D" w:rsidRDefault="001D434A" w:rsidP="00037E5D">
            <w:pPr>
              <w:contextualSpacing/>
              <w:jc w:val="both"/>
              <w:rPr>
                <w:rFonts w:ascii="Futura Lt BT" w:hAnsi="Futura Lt BT" w:cstheme="minorHAnsi"/>
                <w:spacing w:val="-2"/>
                <w:sz w:val="20"/>
                <w:szCs w:val="20"/>
                <w:lang w:val="es-ES"/>
              </w:rPr>
            </w:pPr>
            <w:r w:rsidRPr="00037E5D">
              <w:rPr>
                <w:rFonts w:ascii="Futura Lt BT" w:hAnsi="Futura Lt BT" w:cstheme="minorHAnsi"/>
                <w:spacing w:val="-2"/>
                <w:sz w:val="20"/>
                <w:szCs w:val="20"/>
                <w:lang w:val="es-ES"/>
              </w:rPr>
              <w:t>El Gerente de Proyecto actúa como el enlace entre los equipos operativos y el Comité Ejecutivo, asegurando que toda la información necesaria para la toma de decisiones sea comunicada eficazmente. Los Especialistas en diseño sostenible y los Especialistas en selección de materiales, junto con los Especialistas en desarrollo de prototipo, proporcionan la experiencia técnica y el análisis detallado que el Comité Ejecutivo necesita para tomar decisiones informadas.</w:t>
            </w:r>
          </w:p>
        </w:tc>
      </w:tr>
    </w:tbl>
    <w:p w14:paraId="44964B60" w14:textId="77777777" w:rsidR="00AA4FB7" w:rsidRPr="00037E5D" w:rsidRDefault="00AA4FB7" w:rsidP="00204CB8">
      <w:pPr>
        <w:rPr>
          <w:rFonts w:ascii="Futura Lt BT" w:hAnsi="Futura Lt BT" w:cstheme="minorHAnsi"/>
        </w:rPr>
      </w:pPr>
    </w:p>
    <w:sectPr w:rsidR="00AA4FB7" w:rsidRPr="00037E5D" w:rsidSect="00AA4FB7">
      <w:footerReference w:type="default" r:id="rId10"/>
      <w:pgSz w:w="12240" w:h="15840"/>
      <w:pgMar w:top="1417" w:right="117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60FA" w14:textId="77777777" w:rsidR="00CE589C" w:rsidRDefault="00CE589C" w:rsidP="006B49F7">
      <w:pPr>
        <w:spacing w:after="0" w:line="240" w:lineRule="auto"/>
      </w:pPr>
      <w:r>
        <w:separator/>
      </w:r>
    </w:p>
  </w:endnote>
  <w:endnote w:type="continuationSeparator" w:id="0">
    <w:p w14:paraId="7EB351A5" w14:textId="77777777" w:rsidR="00CE589C" w:rsidRDefault="00CE589C" w:rsidP="006B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1375" w14:textId="77777777" w:rsidR="00C62CC1" w:rsidRDefault="00C62CC1">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77EEA7B2" w14:textId="77777777" w:rsidR="00C62CC1" w:rsidRDefault="00C62C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9A00" w14:textId="77777777" w:rsidR="00CE589C" w:rsidRDefault="00CE589C" w:rsidP="006B49F7">
      <w:pPr>
        <w:spacing w:after="0" w:line="240" w:lineRule="auto"/>
      </w:pPr>
      <w:r>
        <w:separator/>
      </w:r>
    </w:p>
  </w:footnote>
  <w:footnote w:type="continuationSeparator" w:id="0">
    <w:p w14:paraId="77E4CEDE" w14:textId="77777777" w:rsidR="00CE589C" w:rsidRDefault="00CE589C" w:rsidP="006B4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D59"/>
    <w:multiLevelType w:val="hybridMultilevel"/>
    <w:tmpl w:val="9FAAE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D99"/>
    <w:multiLevelType w:val="hybridMultilevel"/>
    <w:tmpl w:val="90989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513EE"/>
    <w:multiLevelType w:val="hybridMultilevel"/>
    <w:tmpl w:val="8AAEBE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F393FE8"/>
    <w:multiLevelType w:val="hybridMultilevel"/>
    <w:tmpl w:val="E76C9A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D17EA2"/>
    <w:multiLevelType w:val="hybridMultilevel"/>
    <w:tmpl w:val="0082D588"/>
    <w:lvl w:ilvl="0" w:tplc="C0A4DD58">
      <w:numFmt w:val="bullet"/>
      <w:lvlText w:val=""/>
      <w:lvlJc w:val="left"/>
      <w:pPr>
        <w:ind w:left="705" w:hanging="525"/>
      </w:pPr>
      <w:rPr>
        <w:rFonts w:ascii="Symbol" w:eastAsiaTheme="minorHAnsi" w:hAnsi="Symbol" w:cstheme="minorBidi" w:hint="default"/>
      </w:rPr>
    </w:lvl>
    <w:lvl w:ilvl="1" w:tplc="080A0003">
      <w:start w:val="1"/>
      <w:numFmt w:val="bullet"/>
      <w:lvlText w:val="o"/>
      <w:lvlJc w:val="left"/>
      <w:pPr>
        <w:ind w:left="1260" w:hanging="360"/>
      </w:pPr>
      <w:rPr>
        <w:rFonts w:ascii="Courier New" w:hAnsi="Courier New" w:cs="Courier New" w:hint="default"/>
      </w:rPr>
    </w:lvl>
    <w:lvl w:ilvl="2" w:tplc="080A0005">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5" w15:restartNumberingAfterBreak="0">
    <w:nsid w:val="1AE16261"/>
    <w:multiLevelType w:val="hybridMultilevel"/>
    <w:tmpl w:val="BA26C1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04B05B2"/>
    <w:multiLevelType w:val="hybridMultilevel"/>
    <w:tmpl w:val="FCE80F9A"/>
    <w:lvl w:ilvl="0" w:tplc="5FFCD67C">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7" w15:restartNumberingAfterBreak="0">
    <w:nsid w:val="20DE26AD"/>
    <w:multiLevelType w:val="hybridMultilevel"/>
    <w:tmpl w:val="766A6216"/>
    <w:lvl w:ilvl="0" w:tplc="BE3482CE">
      <w:start w:val="1"/>
      <w:numFmt w:val="lowerRoman"/>
      <w:lvlText w:val="(%1)"/>
      <w:lvlJc w:val="left"/>
      <w:pPr>
        <w:ind w:left="1260" w:hanging="108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B894295"/>
    <w:multiLevelType w:val="hybridMultilevel"/>
    <w:tmpl w:val="1F707D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C5D6E4E"/>
    <w:multiLevelType w:val="hybridMultilevel"/>
    <w:tmpl w:val="CF3A6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7F3EB4"/>
    <w:multiLevelType w:val="hybridMultilevel"/>
    <w:tmpl w:val="333290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1618E3"/>
    <w:multiLevelType w:val="hybridMultilevel"/>
    <w:tmpl w:val="EF80979C"/>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2" w15:restartNumberingAfterBreak="0">
    <w:nsid w:val="48BA50D8"/>
    <w:multiLevelType w:val="hybridMultilevel"/>
    <w:tmpl w:val="45B6DB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E9B50E9"/>
    <w:multiLevelType w:val="hybridMultilevel"/>
    <w:tmpl w:val="8A184FE8"/>
    <w:lvl w:ilvl="0" w:tplc="FFFFFFFF">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2C81BD0"/>
    <w:multiLevelType w:val="hybridMultilevel"/>
    <w:tmpl w:val="708C15F4"/>
    <w:lvl w:ilvl="0" w:tplc="44387E2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382FCB"/>
    <w:multiLevelType w:val="hybridMultilevel"/>
    <w:tmpl w:val="333290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8D12261"/>
    <w:multiLevelType w:val="hybridMultilevel"/>
    <w:tmpl w:val="34B0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E259B1"/>
    <w:multiLevelType w:val="hybridMultilevel"/>
    <w:tmpl w:val="2556CA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C816EB0"/>
    <w:multiLevelType w:val="hybridMultilevel"/>
    <w:tmpl w:val="6ECCFC8E"/>
    <w:lvl w:ilvl="0" w:tplc="2B26AFCA">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88575D"/>
    <w:multiLevelType w:val="hybridMultilevel"/>
    <w:tmpl w:val="AD5E6266"/>
    <w:lvl w:ilvl="0" w:tplc="080A0003">
      <w:start w:val="1"/>
      <w:numFmt w:val="bullet"/>
      <w:lvlText w:val="o"/>
      <w:lvlJc w:val="left"/>
      <w:pPr>
        <w:ind w:left="900" w:hanging="360"/>
      </w:pPr>
      <w:rPr>
        <w:rFonts w:ascii="Courier New" w:hAnsi="Courier New" w:cs="Courier New"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0" w15:restartNumberingAfterBreak="0">
    <w:nsid w:val="6DDB49E3"/>
    <w:multiLevelType w:val="hybridMultilevel"/>
    <w:tmpl w:val="B4E8DC28"/>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1" w15:restartNumberingAfterBreak="0">
    <w:nsid w:val="70CA4491"/>
    <w:multiLevelType w:val="hybridMultilevel"/>
    <w:tmpl w:val="FED8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20164BB"/>
    <w:multiLevelType w:val="hybridMultilevel"/>
    <w:tmpl w:val="5C6048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29052FC"/>
    <w:multiLevelType w:val="hybridMultilevel"/>
    <w:tmpl w:val="85D47DBE"/>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4" w15:restartNumberingAfterBreak="0">
    <w:nsid w:val="74541B7F"/>
    <w:multiLevelType w:val="hybridMultilevel"/>
    <w:tmpl w:val="167AB3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784668A"/>
    <w:multiLevelType w:val="hybridMultilevel"/>
    <w:tmpl w:val="EBDC11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9EC3625"/>
    <w:multiLevelType w:val="hybridMultilevel"/>
    <w:tmpl w:val="63A63CC0"/>
    <w:lvl w:ilvl="0" w:tplc="0176671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E03736"/>
    <w:multiLevelType w:val="hybridMultilevel"/>
    <w:tmpl w:val="BCF4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7916208">
    <w:abstractNumId w:val="18"/>
  </w:num>
  <w:num w:numId="2" w16cid:durableId="1282570779">
    <w:abstractNumId w:val="26"/>
  </w:num>
  <w:num w:numId="3" w16cid:durableId="651564207">
    <w:abstractNumId w:val="14"/>
  </w:num>
  <w:num w:numId="4" w16cid:durableId="1908999416">
    <w:abstractNumId w:val="9"/>
  </w:num>
  <w:num w:numId="5" w16cid:durableId="2067484432">
    <w:abstractNumId w:val="21"/>
  </w:num>
  <w:num w:numId="6" w16cid:durableId="1801919121">
    <w:abstractNumId w:val="7"/>
  </w:num>
  <w:num w:numId="7" w16cid:durableId="1536500765">
    <w:abstractNumId w:val="4"/>
  </w:num>
  <w:num w:numId="8" w16cid:durableId="2050493794">
    <w:abstractNumId w:val="19"/>
  </w:num>
  <w:num w:numId="9" w16cid:durableId="717437975">
    <w:abstractNumId w:val="23"/>
  </w:num>
  <w:num w:numId="10" w16cid:durableId="1807089756">
    <w:abstractNumId w:val="11"/>
  </w:num>
  <w:num w:numId="11" w16cid:durableId="349842121">
    <w:abstractNumId w:val="20"/>
  </w:num>
  <w:num w:numId="12" w16cid:durableId="1731296985">
    <w:abstractNumId w:val="6"/>
  </w:num>
  <w:num w:numId="13" w16cid:durableId="601032580">
    <w:abstractNumId w:val="2"/>
  </w:num>
  <w:num w:numId="14" w16cid:durableId="2322472">
    <w:abstractNumId w:val="25"/>
  </w:num>
  <w:num w:numId="15" w16cid:durableId="101808788">
    <w:abstractNumId w:val="12"/>
  </w:num>
  <w:num w:numId="16" w16cid:durableId="31269269">
    <w:abstractNumId w:val="3"/>
  </w:num>
  <w:num w:numId="17" w16cid:durableId="1633243944">
    <w:abstractNumId w:val="22"/>
  </w:num>
  <w:num w:numId="18" w16cid:durableId="1873835560">
    <w:abstractNumId w:val="8"/>
  </w:num>
  <w:num w:numId="19" w16cid:durableId="239289163">
    <w:abstractNumId w:val="17"/>
  </w:num>
  <w:num w:numId="20" w16cid:durableId="1853060800">
    <w:abstractNumId w:val="24"/>
  </w:num>
  <w:num w:numId="21" w16cid:durableId="2111195344">
    <w:abstractNumId w:val="5"/>
  </w:num>
  <w:num w:numId="22" w16cid:durableId="1851992590">
    <w:abstractNumId w:val="15"/>
  </w:num>
  <w:num w:numId="23" w16cid:durableId="875697494">
    <w:abstractNumId w:val="10"/>
  </w:num>
  <w:num w:numId="24" w16cid:durableId="1666589219">
    <w:abstractNumId w:val="13"/>
  </w:num>
  <w:num w:numId="25" w16cid:durableId="1643926950">
    <w:abstractNumId w:val="27"/>
  </w:num>
  <w:num w:numId="26" w16cid:durableId="1830055175">
    <w:abstractNumId w:val="1"/>
  </w:num>
  <w:num w:numId="27" w16cid:durableId="1495343285">
    <w:abstractNumId w:val="0"/>
  </w:num>
  <w:num w:numId="28" w16cid:durableId="63527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F7"/>
    <w:rsid w:val="00006874"/>
    <w:rsid w:val="00011532"/>
    <w:rsid w:val="000308A1"/>
    <w:rsid w:val="000347C9"/>
    <w:rsid w:val="00037E5D"/>
    <w:rsid w:val="00061E05"/>
    <w:rsid w:val="00071B6F"/>
    <w:rsid w:val="00083D2B"/>
    <w:rsid w:val="000A4D60"/>
    <w:rsid w:val="000A78F8"/>
    <w:rsid w:val="000B56FE"/>
    <w:rsid w:val="000C7605"/>
    <w:rsid w:val="000D6964"/>
    <w:rsid w:val="000F4839"/>
    <w:rsid w:val="0010147E"/>
    <w:rsid w:val="00102781"/>
    <w:rsid w:val="00103F37"/>
    <w:rsid w:val="0012392E"/>
    <w:rsid w:val="001373BD"/>
    <w:rsid w:val="00142F1C"/>
    <w:rsid w:val="00150757"/>
    <w:rsid w:val="00151861"/>
    <w:rsid w:val="00175846"/>
    <w:rsid w:val="00196C3A"/>
    <w:rsid w:val="001C255D"/>
    <w:rsid w:val="001C68A3"/>
    <w:rsid w:val="001D434A"/>
    <w:rsid w:val="001E159D"/>
    <w:rsid w:val="001E49BE"/>
    <w:rsid w:val="00204CB8"/>
    <w:rsid w:val="002114AD"/>
    <w:rsid w:val="00217AC7"/>
    <w:rsid w:val="002202AD"/>
    <w:rsid w:val="00221545"/>
    <w:rsid w:val="00224551"/>
    <w:rsid w:val="002576EB"/>
    <w:rsid w:val="002828C1"/>
    <w:rsid w:val="0029192F"/>
    <w:rsid w:val="002933A0"/>
    <w:rsid w:val="002B39E4"/>
    <w:rsid w:val="002D3B2C"/>
    <w:rsid w:val="00300A00"/>
    <w:rsid w:val="00317D82"/>
    <w:rsid w:val="00337F08"/>
    <w:rsid w:val="0036564F"/>
    <w:rsid w:val="00366BD8"/>
    <w:rsid w:val="003B1C6B"/>
    <w:rsid w:val="003C7116"/>
    <w:rsid w:val="003D110A"/>
    <w:rsid w:val="003F4C19"/>
    <w:rsid w:val="003F687F"/>
    <w:rsid w:val="004035B4"/>
    <w:rsid w:val="00416902"/>
    <w:rsid w:val="00421394"/>
    <w:rsid w:val="00441B9B"/>
    <w:rsid w:val="00480BEB"/>
    <w:rsid w:val="00494030"/>
    <w:rsid w:val="004962E7"/>
    <w:rsid w:val="004A42E0"/>
    <w:rsid w:val="004B4C9B"/>
    <w:rsid w:val="004C5596"/>
    <w:rsid w:val="004E2302"/>
    <w:rsid w:val="0054069D"/>
    <w:rsid w:val="00550808"/>
    <w:rsid w:val="005637DE"/>
    <w:rsid w:val="005712DC"/>
    <w:rsid w:val="0057409C"/>
    <w:rsid w:val="00574423"/>
    <w:rsid w:val="00582235"/>
    <w:rsid w:val="005922A6"/>
    <w:rsid w:val="00597C1C"/>
    <w:rsid w:val="005B5FC7"/>
    <w:rsid w:val="005F38F1"/>
    <w:rsid w:val="005F41A2"/>
    <w:rsid w:val="0063324F"/>
    <w:rsid w:val="006506AC"/>
    <w:rsid w:val="00670276"/>
    <w:rsid w:val="00684F3C"/>
    <w:rsid w:val="0068790B"/>
    <w:rsid w:val="00692BB6"/>
    <w:rsid w:val="006B49F7"/>
    <w:rsid w:val="006C1E8F"/>
    <w:rsid w:val="006C3056"/>
    <w:rsid w:val="006E6D70"/>
    <w:rsid w:val="00701A78"/>
    <w:rsid w:val="00717915"/>
    <w:rsid w:val="007363EC"/>
    <w:rsid w:val="0073799B"/>
    <w:rsid w:val="00773968"/>
    <w:rsid w:val="00782687"/>
    <w:rsid w:val="007874BC"/>
    <w:rsid w:val="007A522B"/>
    <w:rsid w:val="007D7243"/>
    <w:rsid w:val="007E7FC5"/>
    <w:rsid w:val="00802441"/>
    <w:rsid w:val="008041DC"/>
    <w:rsid w:val="008307F1"/>
    <w:rsid w:val="00834374"/>
    <w:rsid w:val="008552F0"/>
    <w:rsid w:val="008578D2"/>
    <w:rsid w:val="00860603"/>
    <w:rsid w:val="0088294A"/>
    <w:rsid w:val="00887D72"/>
    <w:rsid w:val="00897DC1"/>
    <w:rsid w:val="008A79C0"/>
    <w:rsid w:val="008C2ED4"/>
    <w:rsid w:val="008E7BF6"/>
    <w:rsid w:val="008F27CF"/>
    <w:rsid w:val="00912443"/>
    <w:rsid w:val="009125AD"/>
    <w:rsid w:val="0091296D"/>
    <w:rsid w:val="00933783"/>
    <w:rsid w:val="009553F5"/>
    <w:rsid w:val="0096492B"/>
    <w:rsid w:val="0097301F"/>
    <w:rsid w:val="0098368D"/>
    <w:rsid w:val="00984DAD"/>
    <w:rsid w:val="009B216E"/>
    <w:rsid w:val="009B6592"/>
    <w:rsid w:val="009E08F0"/>
    <w:rsid w:val="00A101C6"/>
    <w:rsid w:val="00A504A2"/>
    <w:rsid w:val="00A52B5C"/>
    <w:rsid w:val="00A52E3C"/>
    <w:rsid w:val="00A55E2C"/>
    <w:rsid w:val="00A81D79"/>
    <w:rsid w:val="00A92F9F"/>
    <w:rsid w:val="00AA0430"/>
    <w:rsid w:val="00AA409C"/>
    <w:rsid w:val="00AA4FB7"/>
    <w:rsid w:val="00AB1216"/>
    <w:rsid w:val="00AB5147"/>
    <w:rsid w:val="00AC3F2D"/>
    <w:rsid w:val="00AD3C94"/>
    <w:rsid w:val="00AD4C09"/>
    <w:rsid w:val="00B051D2"/>
    <w:rsid w:val="00B13D36"/>
    <w:rsid w:val="00B1714B"/>
    <w:rsid w:val="00B25D33"/>
    <w:rsid w:val="00B31DBC"/>
    <w:rsid w:val="00B56E75"/>
    <w:rsid w:val="00B67FB5"/>
    <w:rsid w:val="00B850D3"/>
    <w:rsid w:val="00B923F6"/>
    <w:rsid w:val="00BA423E"/>
    <w:rsid w:val="00BB5A2D"/>
    <w:rsid w:val="00BF11DA"/>
    <w:rsid w:val="00C036F3"/>
    <w:rsid w:val="00C108B4"/>
    <w:rsid w:val="00C45335"/>
    <w:rsid w:val="00C62CC1"/>
    <w:rsid w:val="00C73D47"/>
    <w:rsid w:val="00C85842"/>
    <w:rsid w:val="00C955DF"/>
    <w:rsid w:val="00CA339A"/>
    <w:rsid w:val="00CA627F"/>
    <w:rsid w:val="00CD2827"/>
    <w:rsid w:val="00CE589C"/>
    <w:rsid w:val="00D03301"/>
    <w:rsid w:val="00D03EAB"/>
    <w:rsid w:val="00D11CC2"/>
    <w:rsid w:val="00D127FA"/>
    <w:rsid w:val="00D13533"/>
    <w:rsid w:val="00D7582E"/>
    <w:rsid w:val="00D91FF5"/>
    <w:rsid w:val="00D9376A"/>
    <w:rsid w:val="00DB6382"/>
    <w:rsid w:val="00DC0E0B"/>
    <w:rsid w:val="00E01600"/>
    <w:rsid w:val="00E13C94"/>
    <w:rsid w:val="00E16BF2"/>
    <w:rsid w:val="00E264F0"/>
    <w:rsid w:val="00E27903"/>
    <w:rsid w:val="00E34C81"/>
    <w:rsid w:val="00E37EA6"/>
    <w:rsid w:val="00E44514"/>
    <w:rsid w:val="00E45CF7"/>
    <w:rsid w:val="00E53E06"/>
    <w:rsid w:val="00E65959"/>
    <w:rsid w:val="00E868AD"/>
    <w:rsid w:val="00E93FFB"/>
    <w:rsid w:val="00EC33DF"/>
    <w:rsid w:val="00EC6A5B"/>
    <w:rsid w:val="00F12D6E"/>
    <w:rsid w:val="00F23B7D"/>
    <w:rsid w:val="00F30089"/>
    <w:rsid w:val="00F41967"/>
    <w:rsid w:val="00F62B7C"/>
    <w:rsid w:val="00F95F87"/>
    <w:rsid w:val="00F96441"/>
    <w:rsid w:val="00FC1D84"/>
    <w:rsid w:val="00FC7F8A"/>
    <w:rsid w:val="00FE5F40"/>
    <w:rsid w:val="00FF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964B20"/>
  <w15:docId w15:val="{8243F288-725F-4CB5-94A5-64F9876D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49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49F7"/>
  </w:style>
  <w:style w:type="paragraph" w:styleId="Piedepgina">
    <w:name w:val="footer"/>
    <w:basedOn w:val="Normal"/>
    <w:link w:val="PiedepginaCar"/>
    <w:uiPriority w:val="99"/>
    <w:unhideWhenUsed/>
    <w:rsid w:val="006B49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49F7"/>
  </w:style>
  <w:style w:type="paragraph" w:styleId="Textodeglobo">
    <w:name w:val="Balloon Text"/>
    <w:basedOn w:val="Normal"/>
    <w:link w:val="TextodegloboCar"/>
    <w:uiPriority w:val="99"/>
    <w:semiHidden/>
    <w:unhideWhenUsed/>
    <w:rsid w:val="006B49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49F7"/>
    <w:rPr>
      <w:rFonts w:ascii="Tahoma" w:hAnsi="Tahoma" w:cs="Tahoma"/>
      <w:sz w:val="16"/>
      <w:szCs w:val="16"/>
    </w:rPr>
  </w:style>
  <w:style w:type="paragraph" w:styleId="Prrafodelista">
    <w:name w:val="List Paragraph"/>
    <w:basedOn w:val="Normal"/>
    <w:link w:val="PrrafodelistaCar"/>
    <w:uiPriority w:val="34"/>
    <w:qFormat/>
    <w:rsid w:val="00912443"/>
    <w:pPr>
      <w:ind w:left="720"/>
      <w:contextualSpacing/>
    </w:pPr>
  </w:style>
  <w:style w:type="character" w:styleId="Hipervnculo">
    <w:name w:val="Hyperlink"/>
    <w:basedOn w:val="Fuentedeprrafopredeter"/>
    <w:uiPriority w:val="99"/>
    <w:unhideWhenUsed/>
    <w:rsid w:val="00C036F3"/>
    <w:rPr>
      <w:color w:val="0000FF" w:themeColor="hyperlink"/>
      <w:u w:val="single"/>
    </w:rPr>
  </w:style>
  <w:style w:type="character" w:customStyle="1" w:styleId="a">
    <w:name w:val="a"/>
    <w:basedOn w:val="Fuentedeprrafopredeter"/>
    <w:rsid w:val="004A42E0"/>
  </w:style>
  <w:style w:type="character" w:customStyle="1" w:styleId="l6">
    <w:name w:val="l6"/>
    <w:basedOn w:val="Fuentedeprrafopredeter"/>
    <w:rsid w:val="004A42E0"/>
  </w:style>
  <w:style w:type="character" w:customStyle="1" w:styleId="l9">
    <w:name w:val="l9"/>
    <w:basedOn w:val="Fuentedeprrafopredeter"/>
    <w:rsid w:val="004A42E0"/>
  </w:style>
  <w:style w:type="character" w:customStyle="1" w:styleId="l7">
    <w:name w:val="l7"/>
    <w:basedOn w:val="Fuentedeprrafopredeter"/>
    <w:rsid w:val="004A42E0"/>
  </w:style>
  <w:style w:type="table" w:styleId="Tablaconcuadrcula">
    <w:name w:val="Table Grid"/>
    <w:basedOn w:val="Tablanormal"/>
    <w:uiPriority w:val="59"/>
    <w:rsid w:val="00E4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4F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basedOn w:val="Fuentedeprrafopredeter"/>
    <w:link w:val="Prrafodelista"/>
    <w:uiPriority w:val="34"/>
    <w:rsid w:val="00E53E06"/>
  </w:style>
  <w:style w:type="paragraph" w:styleId="Revisin">
    <w:name w:val="Revision"/>
    <w:hidden/>
    <w:uiPriority w:val="99"/>
    <w:semiHidden/>
    <w:rsid w:val="000B56FE"/>
    <w:pPr>
      <w:spacing w:after="0" w:line="240" w:lineRule="auto"/>
    </w:pPr>
  </w:style>
  <w:style w:type="character" w:styleId="Refdecomentario">
    <w:name w:val="annotation reference"/>
    <w:basedOn w:val="Fuentedeprrafopredeter"/>
    <w:uiPriority w:val="99"/>
    <w:semiHidden/>
    <w:unhideWhenUsed/>
    <w:rsid w:val="000B56FE"/>
    <w:rPr>
      <w:sz w:val="16"/>
      <w:szCs w:val="16"/>
    </w:rPr>
  </w:style>
  <w:style w:type="paragraph" w:styleId="Textocomentario">
    <w:name w:val="annotation text"/>
    <w:basedOn w:val="Normal"/>
    <w:link w:val="TextocomentarioCar"/>
    <w:uiPriority w:val="99"/>
    <w:unhideWhenUsed/>
    <w:rsid w:val="000B56FE"/>
    <w:pPr>
      <w:spacing w:line="240" w:lineRule="auto"/>
    </w:pPr>
    <w:rPr>
      <w:sz w:val="20"/>
      <w:szCs w:val="20"/>
    </w:rPr>
  </w:style>
  <w:style w:type="character" w:customStyle="1" w:styleId="TextocomentarioCar">
    <w:name w:val="Texto comentario Car"/>
    <w:basedOn w:val="Fuentedeprrafopredeter"/>
    <w:link w:val="Textocomentario"/>
    <w:uiPriority w:val="99"/>
    <w:rsid w:val="000B56FE"/>
    <w:rPr>
      <w:sz w:val="20"/>
      <w:szCs w:val="20"/>
    </w:rPr>
  </w:style>
  <w:style w:type="paragraph" w:styleId="Asuntodelcomentario">
    <w:name w:val="annotation subject"/>
    <w:basedOn w:val="Textocomentario"/>
    <w:next w:val="Textocomentario"/>
    <w:link w:val="AsuntodelcomentarioCar"/>
    <w:uiPriority w:val="99"/>
    <w:semiHidden/>
    <w:unhideWhenUsed/>
    <w:rsid w:val="000B56FE"/>
    <w:rPr>
      <w:b/>
      <w:bCs/>
    </w:rPr>
  </w:style>
  <w:style w:type="character" w:customStyle="1" w:styleId="AsuntodelcomentarioCar">
    <w:name w:val="Asunto del comentario Car"/>
    <w:basedOn w:val="TextocomentarioCar"/>
    <w:link w:val="Asuntodelcomentario"/>
    <w:uiPriority w:val="99"/>
    <w:semiHidden/>
    <w:rsid w:val="000B56FE"/>
    <w:rPr>
      <w:b/>
      <w:bCs/>
      <w:sz w:val="20"/>
      <w:szCs w:val="20"/>
    </w:rPr>
  </w:style>
  <w:style w:type="table" w:styleId="Tablaconcuadrculaclara">
    <w:name w:val="Grid Table Light"/>
    <w:basedOn w:val="Tablanormal"/>
    <w:uiPriority w:val="40"/>
    <w:rsid w:val="00037E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037E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241">
      <w:bodyDiv w:val="1"/>
      <w:marLeft w:val="0"/>
      <w:marRight w:val="0"/>
      <w:marTop w:val="0"/>
      <w:marBottom w:val="0"/>
      <w:divBdr>
        <w:top w:val="none" w:sz="0" w:space="0" w:color="auto"/>
        <w:left w:val="none" w:sz="0" w:space="0" w:color="auto"/>
        <w:bottom w:val="none" w:sz="0" w:space="0" w:color="auto"/>
        <w:right w:val="none" w:sz="0" w:space="0" w:color="auto"/>
      </w:divBdr>
    </w:div>
    <w:div w:id="952176714">
      <w:bodyDiv w:val="1"/>
      <w:marLeft w:val="0"/>
      <w:marRight w:val="0"/>
      <w:marTop w:val="0"/>
      <w:marBottom w:val="0"/>
      <w:divBdr>
        <w:top w:val="none" w:sz="0" w:space="0" w:color="auto"/>
        <w:left w:val="none" w:sz="0" w:space="0" w:color="auto"/>
        <w:bottom w:val="none" w:sz="0" w:space="0" w:color="auto"/>
        <w:right w:val="none" w:sz="0" w:space="0" w:color="auto"/>
      </w:divBdr>
    </w:div>
    <w:div w:id="9687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E13A-42F2-40EA-BE8D-9CF1CB33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2074</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hrizo</dc:creator>
  <cp:lastModifiedBy>Pamela Quiros Espinoza</cp:lastModifiedBy>
  <cp:revision>20</cp:revision>
  <cp:lastPrinted>2023-11-27T18:20:00Z</cp:lastPrinted>
  <dcterms:created xsi:type="dcterms:W3CDTF">2023-11-27T18:09:00Z</dcterms:created>
  <dcterms:modified xsi:type="dcterms:W3CDTF">2024-02-09T21:36:00Z</dcterms:modified>
</cp:coreProperties>
</file>